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word/footer13.xml" ContentType="application/vnd.openxmlformats-officedocument.wordprocessingml.footer+xml"/>
  <Override PartName="/word/footer12.xml" ContentType="application/vnd.openxmlformats-officedocument.wordprocessingml.footer+xml"/>
  <Override PartName="/word/footer14.xml" ContentType="application/vnd.openxmlformats-officedocument.wordprocessingml.footer+xml"/>
  <Override PartName="/word/footer11.xml" ContentType="application/vnd.openxmlformats-officedocument.wordprocessingml.footer+xml"/>
  <Override PartName="/word/footer8.xml" ContentType="application/vnd.openxmlformats-officedocument.wordprocessingml.footer+xml"/>
  <Override PartName="/word/footer7.xml" ContentType="application/vnd.openxmlformats-officedocument.wordprocessingml.footer+xml"/>
  <Override PartName="/word/footer5.xml" ContentType="application/vnd.openxmlformats-officedocument.wordprocessingml.footer+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header14.xml" ContentType="application/vnd.openxmlformats-officedocument.wordprocessingml.header+xml"/>
  <Override PartName="/word/footer10.xml" ContentType="application/vnd.openxmlformats-officedocument.wordprocessingml.footer+xml"/>
  <Override PartName="/word/header13.xml" ContentType="application/vnd.openxmlformats-officedocument.wordprocessingml.header+xml"/>
  <Override PartName="/word/header12.xml" ContentType="application/vnd.openxmlformats-officedocument.wordprocessingml.header+xml"/>
  <Override PartName="/word/footer15.xml" ContentType="application/vnd.openxmlformats-officedocument.wordprocessingml.footer+xml"/>
  <Override PartName="/word/header10.xml" ContentType="application/vnd.openxmlformats-officedocument.wordprocessingml.header+xml"/>
  <Override PartName="/word/header8.xml" ContentType="application/vnd.openxmlformats-officedocument.wordprocessingml.header+xml"/>
  <Override PartName="/docProps/core.xml" ContentType="application/vnd.openxmlformats-package.core-properties+xml"/>
  <Override PartName="/docProps/app.xml" ContentType="application/vnd.openxmlformats-officedocument.extended-properties+xml"/>
  <Override PartName="/word/header5.xml" ContentType="application/vnd.openxmlformats-officedocument.wordprocessingml.header+xml"/>
  <Override PartName="/word/footer6.xml" ContentType="application/vnd.openxmlformats-officedocument.wordprocessingml.footer+xml"/>
  <Override PartName="/word/numbering.xml" ContentType="application/vnd.openxmlformats-officedocument.wordprocessingml.numbering+xml"/>
  <Override PartName="/word/footer9.xml" ContentType="application/vnd.openxmlformats-officedocument.wordprocessingml.footer+xml"/>
  <Override PartName="/word/header6.xml" ContentType="application/vnd.openxmlformats-officedocument.wordprocessingml.header+xml"/>
  <Override PartName="/word/endnotes.xml" ContentType="application/vnd.openxmlformats-officedocument.wordprocessingml.endnotes+xml"/>
  <Override PartName="/word/footer4.xml" ContentType="application/vnd.openxmlformats-officedocument.wordprocessingml.footer+xml"/>
  <Override PartName="/word/theme/theme1.xml" ContentType="application/vnd.openxmlformats-officedocument.theme+xml"/>
  <Override PartName="/word/header11.xml" ContentType="application/vnd.openxmlformats-officedocument.wordprocessingml.header+xml"/>
  <Override PartName="/word/header4.xml" ContentType="application/vnd.openxmlformats-officedocument.wordprocessingml.header+xml"/>
  <Override PartName="/word/header2.xml" ContentType="application/vnd.openxmlformats-officedocument.wordprocessingml.header+xml"/>
  <Override PartName="/word/header9.xml" ContentType="application/vnd.openxmlformats-officedocument.wordprocessingml.header+xml"/>
  <Override PartName="/docProps/custom.xml" ContentType="application/vnd.openxmlformats-officedocument.custom-properties+xml"/>
  <Override PartName="/word/header1.xml" ContentType="application/vnd.openxmlformats-officedocument.wordprocessingml.header+xml"/>
  <Override PartName="/word/fontTable.xml" ContentType="application/vnd.openxmlformats-officedocument.wordprocessingml.fontTable+xml"/>
  <Override PartName="/word/header3.xml" ContentType="application/vnd.openxmlformats-officedocument.wordprocessingml.header+xml"/>
  <Override PartName="/word/webSettings.xml" ContentType="application/vnd.openxmlformats-officedocument.wordprocessingml.webSettings+xml"/>
  <Override PartName="/word/settings.xml" ContentType="application/vnd.openxmlformats-officedocument.wordprocessingml.settings+xml"/>
  <Override PartName="/word/header7.xml" ContentType="application/vnd.openxmlformats-officedocument.wordprocessingml.header+xml"/>
  <Override PartName="/word/document.xml" ContentType="application/vnd.openxmlformats-officedocument.wordprocessingml.document.main+xml"/>
  <Override PartName="/word/footnotes.xml" ContentType="application/vnd.openxmlformats-officedocument.wordprocessingml.footnotes+xml"/>
  <Override PartName="/customXml/itemProps1.xml" ContentType="application/vnd.openxmlformats-officedocument.customXmlProperties+xml"/>
  <Override PartName="/word/header15.xml" ContentType="application/vnd.openxmlformats-officedocument.wordprocessingml.header+xml"/>
  <Override PartName="/word/styles.xml" ContentType="application/vnd.openxmlformats-officedocument.wordprocessingml.styl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1271"/>
        <w:ind w:left="4395" w:hanging="11"/>
        <w:spacing w:before="120" w:after="0"/>
        <w:rPr>
          <w:sz w:val="28"/>
          <w:szCs w:val="28"/>
        </w:rPr>
      </w:pPr>
      <w:r>
        <mc:AlternateContent>
          <mc:Choice Requires="wpg">
            <w:drawing>
              <wp:inline xmlns:wp="http://schemas.openxmlformats.org/drawingml/2006/wordprocessingDrawing" distT="0" distB="0" distL="0" distR="0">
                <wp:extent cx="694055" cy="334010"/>
                <wp:effectExtent l="0" t="0" r="0" b="0"/>
                <wp:docPr id="1" name="Рисунок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
                        <pic:cNvPicPr>
                          <a:picLocks noChangeAspect="1"/>
                        </pic:cNvPicPr>
                        <pic:nvPr/>
                      </pic:nvPicPr>
                      <pic:blipFill>
                        <a:blip r:embed="rId40"/>
                        <a:stretch/>
                      </pic:blipFill>
                      <pic:spPr bwMode="auto">
                        <a:xfrm>
                          <a:off x="0" y="0"/>
                          <a:ext cx="694055" cy="334010"/>
                        </a:xfrm>
                        <a:prstGeom prst="rect">
                          <a:avLst/>
                        </a:prstGeom>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54.65pt;height:26.30pt;mso-wrap-distance-left:0.00pt;mso-wrap-distance-top:0.00pt;mso-wrap-distance-right:0.00pt;mso-wrap-distance-bottom:0.00pt;" stroked="false">
                <v:path textboxrect="0,0,0,0"/>
                <v:imagedata r:id="rId40" o:title=""/>
              </v:shape>
            </w:pict>
          </mc:Fallback>
        </mc:AlternateContent>
      </w:r>
      <w:r>
        <w:rPr>
          <w:sz w:val="28"/>
          <w:szCs w:val="28"/>
        </w:rPr>
      </w:r>
      <w:r>
        <w:rPr>
          <w:sz w:val="28"/>
          <w:szCs w:val="28"/>
        </w:rPr>
      </w:r>
    </w:p>
    <w:p>
      <w:pPr>
        <w:pStyle w:val="1271"/>
        <w:jc w:val="center"/>
        <w:keepLines/>
        <w:keepNext/>
        <w:spacing w:before="0" w:after="0"/>
        <w:rPr>
          <w:b/>
          <w:bCs/>
          <w:caps/>
          <w:sz w:val="20"/>
          <w:szCs w:val="20"/>
        </w:rPr>
      </w:pPr>
      <w:r>
        <w:rPr>
          <w:b/>
          <w:bCs/>
          <w:sz w:val="20"/>
          <w:szCs w:val="20"/>
        </w:rPr>
        <w:t xml:space="preserve">Акционерное общество «Дальневосточная генерирующая компания»</w:t>
      </w:r>
      <w:r>
        <w:rPr>
          <w:b/>
          <w:bCs/>
          <w:caps/>
          <w:sz w:val="20"/>
          <w:szCs w:val="20"/>
        </w:rPr>
      </w:r>
      <w:r>
        <w:rPr>
          <w:b/>
          <w:bCs/>
          <w:caps/>
          <w:sz w:val="20"/>
          <w:szCs w:val="20"/>
        </w:rPr>
      </w:r>
    </w:p>
    <w:p>
      <w:pPr>
        <w:pStyle w:val="1342"/>
        <w:ind w:left="4536" w:firstLine="0"/>
        <w:keepNext/>
      </w:pPr>
      <w:r/>
      <w:r/>
    </w:p>
    <w:p>
      <w:pPr>
        <w:pStyle w:val="1342"/>
        <w:ind w:left="4536" w:firstLine="0"/>
        <w:keepNext/>
        <w:rPr>
          <w:highlight w:val="none"/>
        </w:rPr>
      </w:pPr>
      <w:r>
        <w:rPr>
          <w:highlight w:val="none"/>
        </w:rPr>
      </w:r>
      <w:r>
        <w:rPr>
          <w:highlight w:val="none"/>
        </w:rPr>
      </w:r>
      <w:r>
        <w:rPr>
          <w:highlight w:val="none"/>
        </w:rPr>
      </w:r>
    </w:p>
    <w:p>
      <w:pPr>
        <w:pStyle w:val="1342"/>
        <w:ind w:left="4536" w:firstLine="0"/>
        <w:keepNext/>
        <w:rPr>
          <w:highlight w:val="none"/>
        </w:rPr>
      </w:pPr>
      <w:r>
        <w:rPr>
          <w:highlight w:val="none"/>
        </w:rPr>
      </w:r>
      <w:r>
        <w:rPr>
          <w:highlight w:val="none"/>
        </w:rPr>
      </w:r>
      <w:r>
        <w:rPr>
          <w:highlight w:val="none"/>
        </w:rPr>
      </w:r>
    </w:p>
    <w:p>
      <w:pPr>
        <w:pStyle w:val="1368"/>
        <w:jc w:val="right"/>
        <w:spacing w:before="0" w:after="0" w:line="240" w:lineRule="auto"/>
        <w:widowControl w:val="off"/>
        <w:rPr>
          <w:b w:val="0"/>
          <w:sz w:val="26"/>
          <w:szCs w:val="26"/>
        </w:rPr>
      </w:pPr>
      <w:r>
        <w:rPr>
          <w:b w:val="0"/>
          <w:sz w:val="26"/>
          <w:szCs w:val="26"/>
        </w:rPr>
        <w:t xml:space="preserve">«УТВЕРЖДАЮ»</w:t>
      </w:r>
      <w:r>
        <w:rPr>
          <w:b w:val="0"/>
          <w:sz w:val="26"/>
          <w:szCs w:val="26"/>
        </w:rPr>
      </w:r>
      <w:r>
        <w:rPr>
          <w:b w:val="0"/>
          <w:sz w:val="26"/>
          <w:szCs w:val="26"/>
        </w:rPr>
      </w:r>
    </w:p>
    <w:p>
      <w:pPr>
        <w:pStyle w:val="1368"/>
        <w:jc w:val="right"/>
        <w:spacing w:before="0" w:after="0" w:line="240" w:lineRule="auto"/>
        <w:widowControl w:val="off"/>
        <w:rPr>
          <w:b w:val="0"/>
          <w:sz w:val="26"/>
          <w:szCs w:val="26"/>
        </w:rPr>
      </w:pPr>
      <w:r>
        <w:rPr>
          <w:b w:val="0"/>
          <w:sz w:val="26"/>
          <w:szCs w:val="26"/>
        </w:rPr>
        <w:t xml:space="preserve">                                                                                            </w:t>
      </w:r>
      <w:r>
        <w:rPr>
          <w:b w:val="0"/>
          <w:sz w:val="26"/>
          <w:szCs w:val="26"/>
        </w:rPr>
        <w:t xml:space="preserve">Заместитель Председателя специальной закупочной комиссии АО «ДГК» -</w:t>
      </w:r>
      <w:r>
        <w:rPr>
          <w:b w:val="0"/>
          <w:sz w:val="26"/>
          <w:szCs w:val="26"/>
        </w:rPr>
      </w:r>
      <w:r>
        <w:rPr>
          <w:b w:val="0"/>
          <w:sz w:val="26"/>
          <w:szCs w:val="26"/>
        </w:rPr>
      </w:r>
    </w:p>
    <w:p>
      <w:pPr>
        <w:pStyle w:val="1368"/>
        <w:jc w:val="right"/>
        <w:spacing w:before="0" w:after="0" w:line="240" w:lineRule="auto"/>
        <w:widowControl w:val="off"/>
        <w:rPr>
          <w:b w:val="0"/>
          <w:bCs w:val="0"/>
          <w:sz w:val="26"/>
          <w:szCs w:val="26"/>
        </w:rPr>
      </w:pPr>
      <w:r>
        <w:rPr>
          <w:b w:val="0"/>
          <w:sz w:val="26"/>
          <w:szCs w:val="26"/>
        </w:rPr>
        <w:t xml:space="preserve">Заместитель Генерального директора </w:t>
      </w:r>
      <w:r>
        <w:rPr>
          <w:b w:val="0"/>
          <w:bCs w:val="0"/>
          <w:sz w:val="26"/>
          <w:szCs w:val="26"/>
        </w:rPr>
      </w:r>
      <w:r>
        <w:rPr>
          <w:b w:val="0"/>
          <w:bCs w:val="0"/>
          <w:sz w:val="26"/>
          <w:szCs w:val="26"/>
        </w:rPr>
      </w:r>
    </w:p>
    <w:p>
      <w:pPr>
        <w:pStyle w:val="1368"/>
        <w:jc w:val="right"/>
        <w:spacing w:before="0" w:after="0" w:line="240" w:lineRule="auto"/>
        <w:widowControl w:val="off"/>
        <w:rPr>
          <w:b w:val="0"/>
          <w:bCs w:val="0"/>
          <w:sz w:val="26"/>
          <w:szCs w:val="26"/>
        </w:rPr>
      </w:pPr>
      <w:r>
        <w:rPr>
          <w:b w:val="0"/>
          <w:sz w:val="26"/>
          <w:szCs w:val="26"/>
        </w:rPr>
        <w:t xml:space="preserve">по управлению ресурсами АО «ДГК»  </w:t>
      </w:r>
      <w:r>
        <w:rPr>
          <w:b w:val="0"/>
          <w:bCs w:val="0"/>
          <w:sz w:val="26"/>
          <w:szCs w:val="26"/>
        </w:rPr>
      </w:r>
      <w:r>
        <w:rPr>
          <w:b w:val="0"/>
          <w:bCs w:val="0"/>
          <w:sz w:val="26"/>
          <w:szCs w:val="26"/>
        </w:rPr>
      </w:r>
    </w:p>
    <w:p>
      <w:pPr>
        <w:pStyle w:val="1368"/>
        <w:jc w:val="right"/>
        <w:spacing w:before="0" w:after="0" w:line="240" w:lineRule="auto"/>
        <w:widowControl w:val="off"/>
        <w:rPr>
          <w:b w:val="0"/>
          <w:sz w:val="26"/>
          <w:szCs w:val="26"/>
        </w:rPr>
      </w:pPr>
      <w:r>
        <w:rPr>
          <w:b w:val="0"/>
          <w:sz w:val="26"/>
          <w:szCs w:val="26"/>
        </w:rPr>
        <w:t xml:space="preserve">  </w:t>
      </w:r>
      <w:r>
        <w:rPr>
          <w:b w:val="0"/>
          <w:sz w:val="26"/>
          <w:szCs w:val="26"/>
        </w:rPr>
      </w:r>
      <w:r>
        <w:rPr>
          <w:b w:val="0"/>
          <w:sz w:val="26"/>
          <w:szCs w:val="26"/>
        </w:rPr>
      </w:r>
    </w:p>
    <w:p>
      <w:pPr>
        <w:pStyle w:val="1368"/>
        <w:jc w:val="right"/>
        <w:spacing w:before="0" w:after="0" w:line="240" w:lineRule="auto"/>
        <w:widowControl w:val="off"/>
        <w:rPr>
          <w:b w:val="0"/>
          <w:sz w:val="26"/>
          <w:szCs w:val="26"/>
        </w:rPr>
      </w:pPr>
      <w:r>
        <w:rPr>
          <w:b w:val="0"/>
          <w:sz w:val="26"/>
          <w:szCs w:val="26"/>
        </w:rPr>
        <w:t xml:space="preserve">                                                                                          </w:t>
      </w:r>
      <w:r>
        <w:rPr>
          <w:b w:val="0"/>
          <w:sz w:val="26"/>
          <w:szCs w:val="26"/>
        </w:rPr>
        <w:t xml:space="preserve">______________Д. А. Богонатов</w:t>
      </w:r>
      <w:r>
        <w:rPr>
          <w:b w:val="0"/>
          <w:sz w:val="26"/>
          <w:szCs w:val="26"/>
        </w:rPr>
      </w:r>
      <w:r>
        <w:rPr>
          <w:b w:val="0"/>
          <w:sz w:val="26"/>
          <w:szCs w:val="26"/>
        </w:rPr>
      </w:r>
    </w:p>
    <w:p>
      <w:pPr>
        <w:pStyle w:val="1271"/>
        <w:ind w:hanging="11"/>
        <w:spacing w:before="0" w:after="0" w:line="240" w:lineRule="auto"/>
        <w:rPr>
          <w:sz w:val="26"/>
          <w:szCs w:val="26"/>
        </w:rPr>
      </w:pPr>
      <w:r>
        <w:rPr>
          <w:sz w:val="26"/>
          <w:szCs w:val="26"/>
        </w:rPr>
        <w:t xml:space="preserve">                                                                                                            </w:t>
      </w:r>
      <w:r>
        <w:rPr>
          <w:sz w:val="26"/>
          <w:szCs w:val="26"/>
        </w:rPr>
      </w:r>
      <w:r>
        <w:rPr>
          <w:sz w:val="26"/>
          <w:szCs w:val="26"/>
        </w:rPr>
      </w:r>
    </w:p>
    <w:p>
      <w:pPr>
        <w:pStyle w:val="1271"/>
        <w:ind w:left="0" w:hanging="11"/>
        <w:jc w:val="right"/>
        <w:spacing w:before="0" w:after="0" w:line="240" w:lineRule="auto"/>
        <w:rPr>
          <w:sz w:val="26"/>
          <w:szCs w:val="26"/>
        </w:rPr>
      </w:pPr>
      <w:r>
        <w:rPr>
          <w:sz w:val="26"/>
          <w:szCs w:val="26"/>
        </w:rPr>
        <w:t xml:space="preserve">                                                                                         </w:t>
      </w:r>
      <w:r>
        <w:rPr>
          <w:sz w:val="26"/>
          <w:szCs w:val="26"/>
        </w:rPr>
        <w:t xml:space="preserve">«___» _______________</w:t>
      </w:r>
      <w:r>
        <w:rPr>
          <w:b w:val="0"/>
          <w:bCs w:val="0"/>
          <w:sz w:val="26"/>
          <w:szCs w:val="26"/>
        </w:rPr>
        <w:t xml:space="preserve">2026</w:t>
      </w:r>
      <w:r>
        <w:rPr>
          <w:sz w:val="26"/>
          <w:szCs w:val="26"/>
        </w:rPr>
        <w:t xml:space="preserve"> год</w:t>
      </w:r>
      <w:r>
        <w:rPr>
          <w:sz w:val="26"/>
          <w:szCs w:val="26"/>
        </w:rPr>
      </w:r>
      <w:r>
        <w:rPr>
          <w:sz w:val="26"/>
          <w:szCs w:val="26"/>
        </w:rPr>
      </w:r>
    </w:p>
    <w:p>
      <w:pPr>
        <w:pStyle w:val="1342"/>
        <w:ind w:left="4536" w:firstLine="0"/>
        <w:keepNext/>
      </w:pPr>
      <w:r/>
      <w:r/>
    </w:p>
    <w:p>
      <w:pPr>
        <w:pStyle w:val="1342"/>
      </w:pPr>
      <w:r/>
      <w:r/>
    </w:p>
    <w:p>
      <w:pPr>
        <w:pStyle w:val="1342"/>
      </w:pPr>
      <w:r/>
      <w:r/>
    </w:p>
    <w:p>
      <w:pPr>
        <w:pStyle w:val="1342"/>
      </w:pPr>
      <w:r/>
      <w:r/>
    </w:p>
    <w:p>
      <w:pPr>
        <w:pStyle w:val="1342"/>
        <w:numPr>
          <w:ilvl w:val="0"/>
          <w:numId w:val="0"/>
        </w:numPr>
        <w:ind w:left="0" w:firstLine="0"/>
        <w:jc w:val="center"/>
        <w:keepNext/>
        <w:rPr>
          <w:b/>
          <w:bCs/>
          <w:caps/>
          <w:highlight w:val="none"/>
        </w:rPr>
        <w:outlineLvl w:val="2"/>
      </w:pPr>
      <w:r>
        <w:rPr>
          <w:b/>
          <w:bCs/>
          <w:caps/>
        </w:rPr>
        <w:t xml:space="preserve">Документация о закупке</w:t>
      </w:r>
      <w:r>
        <w:rPr>
          <w:b/>
          <w:bCs/>
          <w:caps/>
          <w:highlight w:val="none"/>
        </w:rPr>
      </w:r>
      <w:r>
        <w:rPr>
          <w:b/>
          <w:bCs/>
          <w:caps/>
          <w:highlight w:val="none"/>
        </w:rPr>
      </w:r>
    </w:p>
    <w:p>
      <w:pPr>
        <w:pStyle w:val="1342"/>
        <w:numPr>
          <w:ilvl w:val="0"/>
          <w:numId w:val="0"/>
        </w:numPr>
        <w:ind w:left="0" w:firstLine="0"/>
        <w:jc w:val="center"/>
        <w:keepNext/>
        <w:rPr>
          <w:b/>
          <w:bCs/>
          <w:caps/>
        </w:rPr>
        <w:outlineLvl w:val="2"/>
      </w:pPr>
      <w:r>
        <w:rPr>
          <w:b/>
          <w:bCs/>
          <w:caps/>
          <w:highlight w:val="none"/>
        </w:rPr>
      </w:r>
      <w:r>
        <w:rPr>
          <w:b/>
          <w:bCs/>
          <w:caps/>
        </w:rPr>
      </w:r>
      <w:r>
        <w:rPr>
          <w:b/>
          <w:bCs/>
          <w:caps/>
        </w:rPr>
      </w:r>
    </w:p>
    <w:p>
      <w:pPr>
        <w:ind w:firstLine="0"/>
        <w:jc w:val="both"/>
        <w:spacing w:line="240" w:lineRule="auto"/>
        <w:rPr>
          <w:sz w:val="22"/>
          <w:szCs w:val="22"/>
        </w:rPr>
      </w:pPr>
      <w:r>
        <w:rPr>
          <w:i w:val="0"/>
          <w:iCs w:val="0"/>
          <w:sz w:val="28"/>
          <w:szCs w:val="28"/>
        </w:rPr>
        <w:t xml:space="preserve">Конкурс в электронной форме, на право заключения договора на </w:t>
      </w:r>
      <w:r>
        <w:rPr>
          <w:i w:val="0"/>
          <w:iCs w:val="0"/>
          <w:sz w:val="28"/>
          <w:szCs w:val="28"/>
        </w:rPr>
        <w:t xml:space="preserve">ОКПД2 27.12.10.110 Поставка высоковольтных выключателей 110кВ в рамках инвестиционных проектов для нужд СП Благовещенская ТЭЦ (I_505-АГ-53), СП Николаевская ТЭЦ (O_505-НТЭЦ-7) АО "ДГК"</w:t>
      </w:r>
      <w:r>
        <w:rPr>
          <w:sz w:val="22"/>
          <w:szCs w:val="22"/>
        </w:rPr>
      </w:r>
      <w:r>
        <w:rPr>
          <w:sz w:val="22"/>
          <w:szCs w:val="22"/>
        </w:rPr>
      </w:r>
    </w:p>
    <w:p>
      <w:pPr>
        <w:pStyle w:val="1342"/>
        <w:jc w:val="left"/>
        <w:keepNext/>
        <w:spacing w:before="240" w:after="0"/>
        <w:rPr>
          <w:rStyle w:val="1304"/>
          <w:bCs w:val="0"/>
          <w:i w:val="0"/>
          <w:sz w:val="28"/>
          <w:szCs w:val="28"/>
        </w:rPr>
      </w:pPr>
      <w:r>
        <w:rPr>
          <w:i w:val="0"/>
          <w:iCs w:val="0"/>
          <w:sz w:val="28"/>
          <w:szCs w:val="28"/>
        </w:rPr>
      </w:r>
      <w:r>
        <w:rPr>
          <w:rStyle w:val="1304"/>
          <w:bCs w:val="0"/>
          <w:i w:val="0"/>
          <w:sz w:val="28"/>
          <w:szCs w:val="28"/>
        </w:rPr>
      </w:r>
      <w:r>
        <w:rPr>
          <w:rStyle w:val="1304"/>
          <w:bCs w:val="0"/>
          <w:i w:val="0"/>
          <w:sz w:val="28"/>
          <w:szCs w:val="28"/>
        </w:rPr>
      </w:r>
    </w:p>
    <w:p>
      <w:pPr>
        <w:ind w:left="-108" w:right="-108" w:firstLine="0"/>
        <w:jc w:val="center"/>
        <w:spacing w:before="60" w:after="60" w:line="240" w:lineRule="auto"/>
        <w:rPr>
          <w:bCs w:val="0"/>
          <w:i w:val="0"/>
          <w:sz w:val="22"/>
          <w:szCs w:val="22"/>
          <w:highlight w:val="yellow"/>
        </w:rPr>
      </w:pPr>
      <w:r>
        <w:rPr>
          <w:b w:val="0"/>
          <w:bCs w:val="0"/>
          <w:i w:val="0"/>
          <w:iCs w:val="0"/>
          <w:sz w:val="28"/>
          <w:szCs w:val="28"/>
          <w:highlight w:val="white"/>
        </w:rPr>
        <w:t xml:space="preserve">(Лот № </w:t>
      </w:r>
      <w:r>
        <w:rPr>
          <w:i w:val="0"/>
          <w:iCs w:val="0"/>
          <w:sz w:val="28"/>
          <w:szCs w:val="28"/>
          <w:lang w:eastAsia="en-US"/>
        </w:rPr>
        <w:t xml:space="preserve">22216000-ТПИР ОТМ-2027-ДГК</w:t>
      </w:r>
      <w:r>
        <w:rPr>
          <w:b w:val="0"/>
          <w:bCs w:val="0"/>
          <w:i w:val="0"/>
          <w:iCs w:val="0"/>
          <w:sz w:val="28"/>
          <w:szCs w:val="28"/>
          <w:highlight w:val="white"/>
        </w:rPr>
        <w:t xml:space="preserve">)</w:t>
      </w:r>
      <w:r>
        <w:rPr>
          <w:bCs w:val="0"/>
          <w:i w:val="0"/>
          <w:sz w:val="22"/>
          <w:szCs w:val="22"/>
          <w:highlight w:val="yellow"/>
        </w:rPr>
      </w:r>
      <w:r>
        <w:rPr>
          <w:bCs w:val="0"/>
          <w:i w:val="0"/>
          <w:sz w:val="22"/>
          <w:szCs w:val="22"/>
          <w:highlight w:val="yellow"/>
        </w:rPr>
      </w:r>
    </w:p>
    <w:p>
      <w:pPr>
        <w:pStyle w:val="1342"/>
      </w:pPr>
      <w:r/>
      <w:r/>
    </w:p>
    <w:p>
      <w:pPr>
        <w:pStyle w:val="1341"/>
        <w:numPr>
          <w:ilvl w:val="0"/>
          <w:numId w:val="0"/>
        </w:numPr>
        <w:ind w:left="0" w:firstLine="0"/>
        <w:outlineLvl w:val="2"/>
      </w:pPr>
      <w:r>
        <w:t xml:space="preserve">Содержание</w:t>
      </w:r>
      <w:r/>
    </w:p>
    <w:sdt>
      <w:sdtPr>
        <w15:appearance w15:val="boundingBox"/>
        <w:docPartObj>
          <w:docPartGallery w:val="Table of Contents"/>
          <w:docPartUnique w:val="true"/>
        </w:docPartObj>
        <w:rPr/>
      </w:sdtPr>
      <w:sdtContent>
        <w:p>
          <w:pPr>
            <w:pStyle w:val="1349"/>
            <w:rPr>
              <w:rFonts w:ascii="Calibri" w:hAnsi="Calibri" w:eastAsia="Arial" w:asciiTheme="minorHAnsi" w:hAnsiTheme="minorHAnsi" w:eastAsiaTheme="minorEastAsia"/>
              <w:b w:val="0"/>
              <w:caps w:val="0"/>
              <w:smallCaps w:val="0"/>
              <w:sz w:val="24"/>
              <w:szCs w:val="24"/>
              <w:lang w:eastAsia="ru-RU"/>
              <w14:ligatures w14:val="standardContextual"/>
            </w:rPr>
          </w:pPr>
          <w:r>
            <w:fldChar w:fldCharType="begin"/>
          </w:r>
          <w:r>
            <w:rPr>
              <w:rStyle w:val="1321"/>
              <w:vanish w:val="0"/>
            </w:rPr>
            <w:instrText xml:space="preserve"> TOC \z \u \t "[РГ] Перечисление,5,[РГ] Подпункт,4,[РГ] Пункт,3,[РГ] Подраздел,2,[РГ] Раздел,1,[РГ] Раздел,1,[РГ] Раздел,1,[РГ] Раздел,1,[РГ] Раздел,1,[РГ] Раздел,1,[РГ] Раздел,</w:instrText>
          </w:r>
          <w:r>
            <w:rPr>
              <w:rStyle w:val="1321"/>
              <w:vanish w:val="0"/>
            </w:rPr>
            <w:instrText xml:space="preserve">1,[РГ] Раздел,1,[РГ] Раздел,1,[РГ] Подраздел,2,[РГ] Подраздел,2,[РГ] Подраздел,2,[РГ] Подраздел,2,[РГ] Подраздел,2,[РГ] Подраздел,2,[РГ] Подраздел,2,[РГ] Подраздел,2,[РГ] Пункт,3,[РГ] Пункт,3,[РГ] Пункт,3,[РГ] Пункт,3,[РГ] Пункт,3,[РГ] Пункт,3,[РГ] Пункт,3</w:instrText>
          </w:r>
          <w:r>
            <w:rPr>
              <w:rStyle w:val="1321"/>
              <w:vanish w:val="0"/>
            </w:rPr>
            <w:instrText xml:space="preserve">,[РГ] Подпункт,4,[РГ] Подпункт,4,[РГ] Подпункт,4,[РГ] Подпункт,4,[РГ] Подпункт,4,[РГ] Подпункт,4,[РГ] Подпункт,4,[РГ] Перечисление,5,[РГ] Перечисление,5,[РГ] Перечисление,5,[РГ] Перечисление,5,[РГ] Перечисление,5,[РГ] Перечисление,5,[РГ] Перечисление,5" \h</w:instrText>
          </w:r>
          <w:r>
            <w:rPr>
              <w:rStyle w:val="1321"/>
              <w:vanish w:val="0"/>
            </w:rPr>
            <w:fldChar w:fldCharType="separate"/>
          </w:r>
          <w:hyperlink w:tooltip="#_Toc230928825" w:anchor="_Toc230928825" w:history="1">
            <w:r>
              <w:fldChar w:fldCharType="begin"/>
            </w:r>
            <w:r>
              <w:instrText xml:space="preserve">PAGEREF _Toc230928825 \h</w:instrText>
            </w:r>
            <w:r>
              <w:fldChar w:fldCharType="separate"/>
            </w:r>
            <w:r>
              <w:rPr>
                <w:rStyle w:val="1321"/>
                <w:vanish w:val="0"/>
              </w:rPr>
              <w:t xml:space="preserve">Сокращения</w:t>
              <w:tab/>
              <w:t xml:space="preserve">6</w:t>
            </w:r>
            <w:r>
              <w:fldChar w:fldCharType="end"/>
            </w:r>
          </w:hyperlink>
          <w:r>
            <w:rPr>
              <w:rFonts w:ascii="Calibri" w:hAnsi="Calibri" w:eastAsia="Arial" w:asciiTheme="minorHAnsi" w:hAnsiTheme="minorHAnsi" w:eastAsiaTheme="minorEastAsia"/>
              <w:b w:val="0"/>
              <w:caps w:val="0"/>
              <w:smallCaps w:val="0"/>
              <w:sz w:val="24"/>
              <w:szCs w:val="24"/>
              <w:lang w:eastAsia="ru-RU"/>
              <w14:ligatures w14:val="standardContextual"/>
            </w:rPr>
          </w:r>
          <w:r>
            <w:rPr>
              <w:rFonts w:ascii="Calibri" w:hAnsi="Calibri" w:eastAsia="Arial" w:asciiTheme="minorHAnsi" w:hAnsiTheme="minorHAnsi" w:eastAsiaTheme="minorEastAsia"/>
              <w:b w:val="0"/>
              <w:caps w:val="0"/>
              <w:smallCaps w:val="0"/>
              <w:sz w:val="24"/>
              <w:szCs w:val="24"/>
              <w:lang w:eastAsia="ru-RU"/>
              <w14:ligatures w14:val="standardContextual"/>
            </w:rPr>
          </w:r>
        </w:p>
        <w:p>
          <w:pPr>
            <w:pStyle w:val="1349"/>
            <w:rPr>
              <w:rFonts w:ascii="Calibri" w:hAnsi="Calibri" w:eastAsia="Arial" w:asciiTheme="minorHAnsi" w:hAnsiTheme="minorHAnsi" w:eastAsiaTheme="minorEastAsia"/>
              <w:b w:val="0"/>
              <w:caps w:val="0"/>
              <w:smallCaps w:val="0"/>
              <w:sz w:val="24"/>
              <w:szCs w:val="24"/>
              <w:lang w:eastAsia="ru-RU"/>
              <w14:ligatures w14:val="standardContextual"/>
            </w:rPr>
          </w:pPr>
          <w:r/>
          <w:hyperlink w:tooltip="#_Toc230928826" w:anchor="_Toc230928826" w:history="1">
            <w:r>
              <w:fldChar w:fldCharType="begin"/>
            </w:r>
            <w:r>
              <w:instrText xml:space="preserve">PAGEREF _Toc230928826 \h</w:instrText>
            </w:r>
            <w:r>
              <w:fldChar w:fldCharType="separate"/>
            </w:r>
            <w:r>
              <w:rPr>
                <w:rStyle w:val="1321"/>
                <w:vanish w:val="0"/>
              </w:rPr>
              <w:t xml:space="preserve">Термины и определения</w:t>
              <w:tab/>
              <w:t xml:space="preserve">8</w:t>
            </w:r>
            <w:r>
              <w:fldChar w:fldCharType="end"/>
            </w:r>
          </w:hyperlink>
          <w:r>
            <w:rPr>
              <w:rFonts w:ascii="Calibri" w:hAnsi="Calibri" w:eastAsia="Arial" w:asciiTheme="minorHAnsi" w:hAnsiTheme="minorHAnsi" w:eastAsiaTheme="minorEastAsia"/>
              <w:b w:val="0"/>
              <w:caps w:val="0"/>
              <w:smallCaps w:val="0"/>
              <w:sz w:val="24"/>
              <w:szCs w:val="24"/>
              <w:lang w:eastAsia="ru-RU"/>
              <w14:ligatures w14:val="standardContextual"/>
            </w:rPr>
          </w:r>
          <w:r>
            <w:rPr>
              <w:rFonts w:ascii="Calibri" w:hAnsi="Calibri" w:eastAsia="Arial" w:asciiTheme="minorHAnsi" w:hAnsiTheme="minorHAnsi" w:eastAsiaTheme="minorEastAsia"/>
              <w:b w:val="0"/>
              <w:caps w:val="0"/>
              <w:smallCaps w:val="0"/>
              <w:sz w:val="24"/>
              <w:szCs w:val="24"/>
              <w:lang w:eastAsia="ru-RU"/>
              <w14:ligatures w14:val="standardContextual"/>
            </w:rPr>
          </w:r>
        </w:p>
        <w:p>
          <w:pPr>
            <w:pStyle w:val="1349"/>
            <w:rPr>
              <w:rFonts w:ascii="Calibri" w:hAnsi="Calibri" w:eastAsia="Arial" w:asciiTheme="minorHAnsi" w:hAnsiTheme="minorHAnsi" w:eastAsiaTheme="minorEastAsia"/>
              <w:b w:val="0"/>
              <w:caps w:val="0"/>
              <w:smallCaps w:val="0"/>
              <w:sz w:val="24"/>
              <w:szCs w:val="24"/>
              <w:lang w:eastAsia="ru-RU"/>
              <w14:ligatures w14:val="standardContextual"/>
            </w:rPr>
          </w:pPr>
          <w:r/>
          <w:hyperlink w:tooltip="#_Toc230928827" w:anchor="_Toc230928827" w:history="1">
            <w:r>
              <w:rPr>
                <w:rStyle w:val="1321"/>
                <w:vanish w:val="0"/>
              </w:rPr>
              <w:t xml:space="preserve">1.</w:t>
            </w:r>
            <w:r>
              <w:rPr>
                <w:rStyle w:val="1321"/>
                <w:rFonts w:ascii="Calibri" w:hAnsi="Calibri" w:eastAsia="Arial" w:asciiTheme="minorHAnsi" w:hAnsiTheme="minorHAnsi" w:eastAsiaTheme="minorEastAsia"/>
                <w:b w:val="0"/>
                <w:caps w:val="0"/>
                <w:smallCaps w:val="0"/>
                <w:sz w:val="24"/>
                <w:szCs w:val="24"/>
                <w:lang w:eastAsia="ru-RU"/>
                <w14:ligatures w14:val="standardContextual"/>
              </w:rPr>
              <w:tab/>
            </w:r>
            <w:r>
              <w:fldChar w:fldCharType="begin"/>
            </w:r>
            <w:r>
              <w:instrText xml:space="preserve">PAGEREF _Toc230928827 \h</w:instrText>
            </w:r>
            <w:r>
              <w:fldChar w:fldCharType="separate"/>
            </w:r>
            <w:r>
              <w:rPr>
                <w:rStyle w:val="1321"/>
              </w:rPr>
              <w:t xml:space="preserve">Основные сведения о закупке</w:t>
              <w:tab/>
              <w:t xml:space="preserve">11</w:t>
            </w:r>
            <w:r>
              <w:fldChar w:fldCharType="end"/>
            </w:r>
          </w:hyperlink>
          <w:r>
            <w:rPr>
              <w:rFonts w:ascii="Calibri" w:hAnsi="Calibri" w:eastAsia="Arial" w:asciiTheme="minorHAnsi" w:hAnsiTheme="minorHAnsi" w:eastAsiaTheme="minorEastAsia"/>
              <w:b w:val="0"/>
              <w:caps w:val="0"/>
              <w:smallCaps w:val="0"/>
              <w:sz w:val="24"/>
              <w:szCs w:val="24"/>
              <w:lang w:eastAsia="ru-RU"/>
              <w14:ligatures w14:val="standardContextual"/>
            </w:rPr>
          </w:r>
          <w:r>
            <w:rPr>
              <w:rFonts w:ascii="Calibri" w:hAnsi="Calibri" w:eastAsia="Arial" w:asciiTheme="minorHAnsi" w:hAnsiTheme="minorHAnsi" w:eastAsiaTheme="minorEastAsia"/>
              <w:b w:val="0"/>
              <w:caps w:val="0"/>
              <w:smallCaps w:val="0"/>
              <w:sz w:val="24"/>
              <w:szCs w:val="24"/>
              <w:lang w:eastAsia="ru-RU"/>
              <w14:ligatures w14:val="standardContextual"/>
            </w:rPr>
          </w:r>
        </w:p>
        <w:p>
          <w:pPr>
            <w:pStyle w:val="1348"/>
            <w:rPr>
              <w:rFonts w:ascii="Calibri" w:hAnsi="Calibri" w:eastAsia="Arial" w:asciiTheme="minorHAnsi" w:hAnsiTheme="minorHAnsi" w:eastAsiaTheme="minorEastAsia"/>
              <w:sz w:val="24"/>
              <w:szCs w:val="24"/>
              <w:lang w:eastAsia="ru-RU"/>
              <w14:ligatures w14:val="standardContextual"/>
            </w:rPr>
          </w:pPr>
          <w:r/>
          <w:hyperlink w:tooltip="#_Toc230928828" w:anchor="_Toc230928828" w:history="1">
            <w:r>
              <w:rPr>
                <w:rStyle w:val="1321"/>
                <w:vanish w:val="0"/>
              </w:rPr>
              <w:t xml:space="preserve">1.1</w:t>
            </w:r>
            <w:r>
              <w:rPr>
                <w:rStyle w:val="1321"/>
                <w:rFonts w:ascii="Calibri" w:hAnsi="Calibri" w:eastAsia="Arial" w:asciiTheme="minorHAnsi" w:hAnsiTheme="minorHAnsi" w:eastAsiaTheme="minorEastAsia"/>
                <w:sz w:val="24"/>
                <w:szCs w:val="24"/>
                <w:lang w:eastAsia="ru-RU"/>
                <w14:ligatures w14:val="standardContextual"/>
              </w:rPr>
              <w:tab/>
            </w:r>
            <w:r>
              <w:fldChar w:fldCharType="begin"/>
            </w:r>
            <w:r>
              <w:instrText xml:space="preserve">PAGEREF _Toc230928828 \h</w:instrText>
            </w:r>
            <w:r>
              <w:fldChar w:fldCharType="separate"/>
            </w:r>
            <w:r>
              <w:rPr>
                <w:rStyle w:val="1321"/>
              </w:rPr>
              <w:t xml:space="preserve">Статус настоящего раздела</w:t>
              <w:tab/>
              <w:t xml:space="preserve">11</w:t>
            </w:r>
            <w:r>
              <w:fldChar w:fldCharType="end"/>
            </w:r>
          </w:hyperlink>
          <w:r>
            <w:rPr>
              <w:rFonts w:ascii="Calibri" w:hAnsi="Calibri" w:eastAsia="Arial" w:asciiTheme="minorHAnsi" w:hAnsiTheme="minorHAnsi" w:eastAsiaTheme="minorEastAsia"/>
              <w:sz w:val="24"/>
              <w:szCs w:val="24"/>
              <w:lang w:eastAsia="ru-RU"/>
              <w14:ligatures w14:val="standardContextual"/>
            </w:rPr>
          </w:r>
          <w:r>
            <w:rPr>
              <w:rFonts w:ascii="Calibri" w:hAnsi="Calibri" w:eastAsia="Arial" w:asciiTheme="minorHAnsi" w:hAnsiTheme="minorHAnsi" w:eastAsiaTheme="minorEastAsia"/>
              <w:sz w:val="24"/>
              <w:szCs w:val="24"/>
              <w:lang w:eastAsia="ru-RU"/>
              <w14:ligatures w14:val="standardContextual"/>
            </w:rPr>
          </w:r>
        </w:p>
        <w:p>
          <w:pPr>
            <w:pStyle w:val="1348"/>
            <w:rPr>
              <w:rFonts w:ascii="Calibri" w:hAnsi="Calibri" w:eastAsia="Arial" w:asciiTheme="minorHAnsi" w:hAnsiTheme="minorHAnsi" w:eastAsiaTheme="minorEastAsia"/>
              <w:sz w:val="24"/>
              <w:szCs w:val="24"/>
              <w:lang w:eastAsia="ru-RU"/>
              <w14:ligatures w14:val="standardContextual"/>
            </w:rPr>
          </w:pPr>
          <w:r/>
          <w:hyperlink w:tooltip="#_Toc230928829" w:anchor="_Toc230928829" w:history="1">
            <w:r>
              <w:rPr>
                <w:rStyle w:val="1321"/>
                <w:vanish w:val="0"/>
              </w:rPr>
              <w:t xml:space="preserve">1.2</w:t>
            </w:r>
            <w:r>
              <w:rPr>
                <w:rStyle w:val="1321"/>
                <w:rFonts w:ascii="Calibri" w:hAnsi="Calibri" w:eastAsia="Arial" w:asciiTheme="minorHAnsi" w:hAnsiTheme="minorHAnsi" w:eastAsiaTheme="minorEastAsia"/>
                <w:sz w:val="24"/>
                <w:szCs w:val="24"/>
                <w:lang w:eastAsia="ru-RU"/>
                <w14:ligatures w14:val="standardContextual"/>
              </w:rPr>
              <w:tab/>
            </w:r>
            <w:r>
              <w:fldChar w:fldCharType="begin"/>
            </w:r>
            <w:r>
              <w:instrText xml:space="preserve">PAGEREF _Toc230928829 \h</w:instrText>
            </w:r>
            <w:r>
              <w:fldChar w:fldCharType="separate"/>
            </w:r>
            <w:r>
              <w:rPr>
                <w:rStyle w:val="1321"/>
              </w:rPr>
              <w:t xml:space="preserve">Информация о проводимой закупке</w:t>
              <w:tab/>
              <w:t xml:space="preserve">11</w:t>
            </w:r>
            <w:r>
              <w:fldChar w:fldCharType="end"/>
            </w:r>
          </w:hyperlink>
          <w:r>
            <w:rPr>
              <w:rFonts w:ascii="Calibri" w:hAnsi="Calibri" w:eastAsia="Arial" w:asciiTheme="minorHAnsi" w:hAnsiTheme="minorHAnsi" w:eastAsiaTheme="minorEastAsia"/>
              <w:sz w:val="24"/>
              <w:szCs w:val="24"/>
              <w:lang w:eastAsia="ru-RU"/>
              <w14:ligatures w14:val="standardContextual"/>
            </w:rPr>
          </w:r>
          <w:r>
            <w:rPr>
              <w:rFonts w:ascii="Calibri" w:hAnsi="Calibri" w:eastAsia="Arial" w:asciiTheme="minorHAnsi" w:hAnsiTheme="minorHAnsi" w:eastAsiaTheme="minorEastAsia"/>
              <w:sz w:val="24"/>
              <w:szCs w:val="24"/>
              <w:lang w:eastAsia="ru-RU"/>
              <w14:ligatures w14:val="standardContextual"/>
            </w:rPr>
          </w:r>
        </w:p>
        <w:p>
          <w:pPr>
            <w:pStyle w:val="1349"/>
            <w:rPr>
              <w:rFonts w:ascii="Calibri" w:hAnsi="Calibri" w:eastAsia="Arial" w:asciiTheme="minorHAnsi" w:hAnsiTheme="minorHAnsi" w:eastAsiaTheme="minorEastAsia"/>
              <w:b w:val="0"/>
              <w:caps w:val="0"/>
              <w:smallCaps w:val="0"/>
              <w:sz w:val="24"/>
              <w:szCs w:val="24"/>
              <w:lang w:eastAsia="ru-RU"/>
              <w14:ligatures w14:val="standardContextual"/>
            </w:rPr>
          </w:pPr>
          <w:r/>
          <w:hyperlink w:tooltip="#_Toc230928830" w:anchor="_Toc230928830" w:history="1">
            <w:r>
              <w:rPr>
                <w:rStyle w:val="1321"/>
                <w:vanish w:val="0"/>
              </w:rPr>
              <w:t xml:space="preserve">2.</w:t>
            </w:r>
            <w:r>
              <w:rPr>
                <w:rStyle w:val="1321"/>
                <w:rFonts w:ascii="Calibri" w:hAnsi="Calibri" w:eastAsia="Arial" w:asciiTheme="minorHAnsi" w:hAnsiTheme="minorHAnsi" w:eastAsiaTheme="minorEastAsia"/>
                <w:b w:val="0"/>
                <w:caps w:val="0"/>
                <w:smallCaps w:val="0"/>
                <w:sz w:val="24"/>
                <w:szCs w:val="24"/>
                <w:lang w:eastAsia="ru-RU"/>
                <w14:ligatures w14:val="standardContextual"/>
              </w:rPr>
              <w:tab/>
            </w:r>
            <w:r>
              <w:fldChar w:fldCharType="begin"/>
            </w:r>
            <w:r>
              <w:instrText xml:space="preserve">PAGEREF _Toc230928830 \h</w:instrText>
            </w:r>
            <w:r>
              <w:fldChar w:fldCharType="separate"/>
            </w:r>
            <w:r>
              <w:rPr>
                <w:rStyle w:val="1321"/>
              </w:rPr>
              <w:t xml:space="preserve">Общие положения</w:t>
              <w:tab/>
              <w:t xml:space="preserve">17</w:t>
            </w:r>
            <w:r>
              <w:fldChar w:fldCharType="end"/>
            </w:r>
          </w:hyperlink>
          <w:r>
            <w:rPr>
              <w:rFonts w:ascii="Calibri" w:hAnsi="Calibri" w:eastAsia="Arial" w:asciiTheme="minorHAnsi" w:hAnsiTheme="minorHAnsi" w:eastAsiaTheme="minorEastAsia"/>
              <w:b w:val="0"/>
              <w:caps w:val="0"/>
              <w:smallCaps w:val="0"/>
              <w:sz w:val="24"/>
              <w:szCs w:val="24"/>
              <w:lang w:eastAsia="ru-RU"/>
              <w14:ligatures w14:val="standardContextual"/>
            </w:rPr>
          </w:r>
          <w:r>
            <w:rPr>
              <w:rFonts w:ascii="Calibri" w:hAnsi="Calibri" w:eastAsia="Arial" w:asciiTheme="minorHAnsi" w:hAnsiTheme="minorHAnsi" w:eastAsiaTheme="minorEastAsia"/>
              <w:b w:val="0"/>
              <w:caps w:val="0"/>
              <w:smallCaps w:val="0"/>
              <w:sz w:val="24"/>
              <w:szCs w:val="24"/>
              <w:lang w:eastAsia="ru-RU"/>
              <w14:ligatures w14:val="standardContextual"/>
            </w:rPr>
          </w:r>
        </w:p>
        <w:p>
          <w:pPr>
            <w:pStyle w:val="1348"/>
            <w:rPr>
              <w:rFonts w:ascii="Calibri" w:hAnsi="Calibri" w:eastAsia="Arial" w:asciiTheme="minorHAnsi" w:hAnsiTheme="minorHAnsi" w:eastAsiaTheme="minorEastAsia"/>
              <w:sz w:val="24"/>
              <w:szCs w:val="24"/>
              <w:lang w:eastAsia="ru-RU"/>
              <w14:ligatures w14:val="standardContextual"/>
            </w:rPr>
          </w:pPr>
          <w:r/>
          <w:hyperlink w:tooltip="#_Toc230928831" w:anchor="_Toc230928831" w:history="1">
            <w:r>
              <w:rPr>
                <w:rStyle w:val="1321"/>
                <w:vanish w:val="0"/>
              </w:rPr>
              <w:t xml:space="preserve">2.1</w:t>
            </w:r>
            <w:r>
              <w:rPr>
                <w:rStyle w:val="1321"/>
                <w:rFonts w:ascii="Calibri" w:hAnsi="Calibri" w:eastAsia="Arial" w:asciiTheme="minorHAnsi" w:hAnsiTheme="minorHAnsi" w:eastAsiaTheme="minorEastAsia"/>
                <w:sz w:val="24"/>
                <w:szCs w:val="24"/>
                <w:lang w:eastAsia="ru-RU"/>
                <w14:ligatures w14:val="standardContextual"/>
              </w:rPr>
              <w:tab/>
            </w:r>
            <w:r>
              <w:fldChar w:fldCharType="begin"/>
            </w:r>
            <w:r>
              <w:instrText xml:space="preserve">PAGEREF _Toc230928831 \h</w:instrText>
            </w:r>
            <w:r>
              <w:fldChar w:fldCharType="separate"/>
            </w:r>
            <w:r>
              <w:rPr>
                <w:rStyle w:val="1321"/>
              </w:rPr>
              <w:t xml:space="preserve">Общие сведения о закупке</w:t>
              <w:tab/>
              <w:t xml:space="preserve">17</w:t>
            </w:r>
            <w:r>
              <w:fldChar w:fldCharType="end"/>
            </w:r>
          </w:hyperlink>
          <w:r>
            <w:rPr>
              <w:rFonts w:ascii="Calibri" w:hAnsi="Calibri" w:eastAsia="Arial" w:asciiTheme="minorHAnsi" w:hAnsiTheme="minorHAnsi" w:eastAsiaTheme="minorEastAsia"/>
              <w:sz w:val="24"/>
              <w:szCs w:val="24"/>
              <w:lang w:eastAsia="ru-RU"/>
              <w14:ligatures w14:val="standardContextual"/>
            </w:rPr>
          </w:r>
          <w:r>
            <w:rPr>
              <w:rFonts w:ascii="Calibri" w:hAnsi="Calibri" w:eastAsia="Arial" w:asciiTheme="minorHAnsi" w:hAnsiTheme="minorHAnsi" w:eastAsiaTheme="minorEastAsia"/>
              <w:sz w:val="24"/>
              <w:szCs w:val="24"/>
              <w:lang w:eastAsia="ru-RU"/>
              <w14:ligatures w14:val="standardContextual"/>
            </w:rPr>
          </w:r>
        </w:p>
        <w:p>
          <w:pPr>
            <w:pStyle w:val="1348"/>
            <w:rPr>
              <w:rFonts w:ascii="Calibri" w:hAnsi="Calibri" w:eastAsia="Arial" w:asciiTheme="minorHAnsi" w:hAnsiTheme="minorHAnsi" w:eastAsiaTheme="minorEastAsia"/>
              <w:sz w:val="24"/>
              <w:szCs w:val="24"/>
              <w:lang w:eastAsia="ru-RU"/>
              <w14:ligatures w14:val="standardContextual"/>
            </w:rPr>
          </w:pPr>
          <w:r/>
          <w:hyperlink w:tooltip="#_Toc230928832" w:anchor="_Toc230928832" w:history="1">
            <w:r>
              <w:rPr>
                <w:rStyle w:val="1321"/>
                <w:vanish w:val="0"/>
              </w:rPr>
              <w:t xml:space="preserve">2.2</w:t>
            </w:r>
            <w:r>
              <w:rPr>
                <w:rStyle w:val="1321"/>
                <w:rFonts w:ascii="Calibri" w:hAnsi="Calibri" w:eastAsia="Arial" w:asciiTheme="minorHAnsi" w:hAnsiTheme="minorHAnsi" w:eastAsiaTheme="minorEastAsia"/>
                <w:sz w:val="24"/>
                <w:szCs w:val="24"/>
                <w:lang w:eastAsia="ru-RU"/>
                <w14:ligatures w14:val="standardContextual"/>
              </w:rPr>
              <w:tab/>
            </w:r>
            <w:r>
              <w:fldChar w:fldCharType="begin"/>
            </w:r>
            <w:r>
              <w:instrText xml:space="preserve">PAGEREF _Toc230928832 \h</w:instrText>
            </w:r>
            <w:r>
              <w:fldChar w:fldCharType="separate"/>
            </w:r>
            <w:r>
              <w:rPr>
                <w:rStyle w:val="1321"/>
              </w:rPr>
              <w:t xml:space="preserve">Правовой статус документов</w:t>
              <w:tab/>
              <w:t xml:space="preserve">17</w:t>
            </w:r>
            <w:r>
              <w:fldChar w:fldCharType="end"/>
            </w:r>
          </w:hyperlink>
          <w:r>
            <w:rPr>
              <w:rFonts w:ascii="Calibri" w:hAnsi="Calibri" w:eastAsia="Arial" w:asciiTheme="minorHAnsi" w:hAnsiTheme="minorHAnsi" w:eastAsiaTheme="minorEastAsia"/>
              <w:sz w:val="24"/>
              <w:szCs w:val="24"/>
              <w:lang w:eastAsia="ru-RU"/>
              <w14:ligatures w14:val="standardContextual"/>
            </w:rPr>
          </w:r>
          <w:r>
            <w:rPr>
              <w:rFonts w:ascii="Calibri" w:hAnsi="Calibri" w:eastAsia="Arial" w:asciiTheme="minorHAnsi" w:hAnsiTheme="minorHAnsi" w:eastAsiaTheme="minorEastAsia"/>
              <w:sz w:val="24"/>
              <w:szCs w:val="24"/>
              <w:lang w:eastAsia="ru-RU"/>
              <w14:ligatures w14:val="standardContextual"/>
            </w:rPr>
          </w:r>
        </w:p>
        <w:p>
          <w:pPr>
            <w:pStyle w:val="1348"/>
            <w:rPr>
              <w:rFonts w:ascii="Calibri" w:hAnsi="Calibri" w:eastAsia="Arial" w:asciiTheme="minorHAnsi" w:hAnsiTheme="minorHAnsi" w:eastAsiaTheme="minorEastAsia"/>
              <w:sz w:val="24"/>
              <w:szCs w:val="24"/>
              <w:lang w:eastAsia="ru-RU"/>
              <w14:ligatures w14:val="standardContextual"/>
            </w:rPr>
          </w:pPr>
          <w:r/>
          <w:hyperlink w:tooltip="#_Toc230928833" w:anchor="_Toc230928833" w:history="1">
            <w:r>
              <w:rPr>
                <w:rStyle w:val="1321"/>
                <w:vanish w:val="0"/>
              </w:rPr>
              <w:t xml:space="preserve">2.3</w:t>
            </w:r>
            <w:r>
              <w:rPr>
                <w:rStyle w:val="1321"/>
                <w:rFonts w:ascii="Calibri" w:hAnsi="Calibri" w:eastAsia="Arial" w:asciiTheme="minorHAnsi" w:hAnsiTheme="minorHAnsi" w:eastAsiaTheme="minorEastAsia"/>
                <w:sz w:val="24"/>
                <w:szCs w:val="24"/>
                <w:lang w:eastAsia="ru-RU"/>
                <w14:ligatures w14:val="standardContextual"/>
              </w:rPr>
              <w:tab/>
            </w:r>
            <w:r>
              <w:fldChar w:fldCharType="begin"/>
            </w:r>
            <w:r>
              <w:instrText xml:space="preserve">PAGEREF _Toc230928833 \h</w:instrText>
            </w:r>
            <w:r>
              <w:fldChar w:fldCharType="separate"/>
            </w:r>
            <w:r>
              <w:rPr>
                <w:rStyle w:val="1321"/>
              </w:rPr>
              <w:t xml:space="preserve">Обжалование</w:t>
              <w:tab/>
              <w:t xml:space="preserve">18</w:t>
            </w:r>
            <w:r>
              <w:fldChar w:fldCharType="end"/>
            </w:r>
          </w:hyperlink>
          <w:r>
            <w:rPr>
              <w:rFonts w:ascii="Calibri" w:hAnsi="Calibri" w:eastAsia="Arial" w:asciiTheme="minorHAnsi" w:hAnsiTheme="minorHAnsi" w:eastAsiaTheme="minorEastAsia"/>
              <w:sz w:val="24"/>
              <w:szCs w:val="24"/>
              <w:lang w:eastAsia="ru-RU"/>
              <w14:ligatures w14:val="standardContextual"/>
            </w:rPr>
          </w:r>
          <w:r>
            <w:rPr>
              <w:rFonts w:ascii="Calibri" w:hAnsi="Calibri" w:eastAsia="Arial" w:asciiTheme="minorHAnsi" w:hAnsiTheme="minorHAnsi" w:eastAsiaTheme="minorEastAsia"/>
              <w:sz w:val="24"/>
              <w:szCs w:val="24"/>
              <w:lang w:eastAsia="ru-RU"/>
              <w14:ligatures w14:val="standardContextual"/>
            </w:rPr>
          </w:r>
        </w:p>
        <w:p>
          <w:pPr>
            <w:pStyle w:val="1348"/>
            <w:rPr>
              <w:rFonts w:ascii="Calibri" w:hAnsi="Calibri" w:eastAsia="Arial" w:asciiTheme="minorHAnsi" w:hAnsiTheme="minorHAnsi" w:eastAsiaTheme="minorEastAsia"/>
              <w:sz w:val="24"/>
              <w:szCs w:val="24"/>
              <w:lang w:eastAsia="ru-RU"/>
              <w14:ligatures w14:val="standardContextual"/>
            </w:rPr>
          </w:pPr>
          <w:r/>
          <w:hyperlink w:tooltip="#_Toc230928834" w:anchor="_Toc230928834" w:history="1">
            <w:r>
              <w:rPr>
                <w:rStyle w:val="1321"/>
                <w:vanish w:val="0"/>
              </w:rPr>
              <w:t xml:space="preserve">2.4</w:t>
            </w:r>
            <w:r>
              <w:rPr>
                <w:rStyle w:val="1321"/>
                <w:rFonts w:ascii="Calibri" w:hAnsi="Calibri" w:eastAsia="Arial" w:asciiTheme="minorHAnsi" w:hAnsiTheme="minorHAnsi" w:eastAsiaTheme="minorEastAsia"/>
                <w:sz w:val="24"/>
                <w:szCs w:val="24"/>
                <w:lang w:eastAsia="ru-RU"/>
                <w14:ligatures w14:val="standardContextual"/>
              </w:rPr>
              <w:tab/>
            </w:r>
            <w:r>
              <w:fldChar w:fldCharType="begin"/>
            </w:r>
            <w:r>
              <w:instrText xml:space="preserve">PAGEREF _Toc230928834 \h</w:instrText>
            </w:r>
            <w:r>
              <w:fldChar w:fldCharType="separate"/>
            </w:r>
            <w:r>
              <w:rPr>
                <w:rStyle w:val="1321"/>
              </w:rPr>
              <w:t xml:space="preserve">Особые положения при проведении закупки с использованием ЭП</w:t>
              <w:tab/>
              <w:t xml:space="preserve">19</w:t>
            </w:r>
            <w:r>
              <w:fldChar w:fldCharType="end"/>
            </w:r>
          </w:hyperlink>
          <w:r>
            <w:rPr>
              <w:rFonts w:ascii="Calibri" w:hAnsi="Calibri" w:eastAsia="Arial" w:asciiTheme="minorHAnsi" w:hAnsiTheme="minorHAnsi" w:eastAsiaTheme="minorEastAsia"/>
              <w:sz w:val="24"/>
              <w:szCs w:val="24"/>
              <w:lang w:eastAsia="ru-RU"/>
              <w14:ligatures w14:val="standardContextual"/>
            </w:rPr>
          </w:r>
          <w:r>
            <w:rPr>
              <w:rFonts w:ascii="Calibri" w:hAnsi="Calibri" w:eastAsia="Arial" w:asciiTheme="minorHAnsi" w:hAnsiTheme="minorHAnsi" w:eastAsiaTheme="minorEastAsia"/>
              <w:sz w:val="24"/>
              <w:szCs w:val="24"/>
              <w:lang w:eastAsia="ru-RU"/>
              <w14:ligatures w14:val="standardContextual"/>
            </w:rPr>
          </w:r>
        </w:p>
        <w:p>
          <w:pPr>
            <w:pStyle w:val="1348"/>
            <w:rPr>
              <w:rFonts w:ascii="Calibri" w:hAnsi="Calibri" w:eastAsia="Arial" w:asciiTheme="minorHAnsi" w:hAnsiTheme="minorHAnsi" w:eastAsiaTheme="minorEastAsia"/>
              <w:sz w:val="24"/>
              <w:szCs w:val="24"/>
              <w:lang w:eastAsia="ru-RU"/>
              <w14:ligatures w14:val="standardContextual"/>
            </w:rPr>
          </w:pPr>
          <w:r/>
          <w:hyperlink w:tooltip="#_Toc230928835" w:anchor="_Toc230928835" w:history="1">
            <w:r>
              <w:rPr>
                <w:rStyle w:val="1321"/>
                <w:vanish w:val="0"/>
              </w:rPr>
              <w:t xml:space="preserve">2.5</w:t>
            </w:r>
            <w:r>
              <w:rPr>
                <w:rStyle w:val="1321"/>
                <w:rFonts w:ascii="Calibri" w:hAnsi="Calibri" w:eastAsia="Arial" w:asciiTheme="minorHAnsi" w:hAnsiTheme="minorHAnsi" w:eastAsiaTheme="minorEastAsia"/>
                <w:sz w:val="24"/>
                <w:szCs w:val="24"/>
                <w:lang w:eastAsia="ru-RU"/>
                <w14:ligatures w14:val="standardContextual"/>
              </w:rPr>
              <w:tab/>
            </w:r>
            <w:r>
              <w:fldChar w:fldCharType="begin"/>
            </w:r>
            <w:r>
              <w:instrText xml:space="preserve">PAGEREF _Toc230928835 \h</w:instrText>
            </w:r>
            <w:r>
              <w:fldChar w:fldCharType="separate"/>
            </w:r>
            <w:r>
              <w:rPr>
                <w:rStyle w:val="1321"/>
              </w:rPr>
              <w:t xml:space="preserve">Прочие положения</w:t>
              <w:tab/>
              <w:t xml:space="preserve">19</w:t>
            </w:r>
            <w:r>
              <w:fldChar w:fldCharType="end"/>
            </w:r>
          </w:hyperlink>
          <w:r>
            <w:rPr>
              <w:rFonts w:ascii="Calibri" w:hAnsi="Calibri" w:eastAsia="Arial" w:asciiTheme="minorHAnsi" w:hAnsiTheme="minorHAnsi" w:eastAsiaTheme="minorEastAsia"/>
              <w:sz w:val="24"/>
              <w:szCs w:val="24"/>
              <w:lang w:eastAsia="ru-RU"/>
              <w14:ligatures w14:val="standardContextual"/>
            </w:rPr>
          </w:r>
          <w:r>
            <w:rPr>
              <w:rFonts w:ascii="Calibri" w:hAnsi="Calibri" w:eastAsia="Arial" w:asciiTheme="minorHAnsi" w:hAnsiTheme="minorHAnsi" w:eastAsiaTheme="minorEastAsia"/>
              <w:sz w:val="24"/>
              <w:szCs w:val="24"/>
              <w:lang w:eastAsia="ru-RU"/>
              <w14:ligatures w14:val="standardContextual"/>
            </w:rPr>
          </w:r>
        </w:p>
        <w:p>
          <w:pPr>
            <w:pStyle w:val="1349"/>
            <w:rPr>
              <w:rFonts w:ascii="Calibri" w:hAnsi="Calibri" w:eastAsia="Arial" w:asciiTheme="minorHAnsi" w:hAnsiTheme="minorHAnsi" w:eastAsiaTheme="minorEastAsia"/>
              <w:b w:val="0"/>
              <w:caps w:val="0"/>
              <w:smallCaps w:val="0"/>
              <w:sz w:val="24"/>
              <w:szCs w:val="24"/>
              <w:lang w:eastAsia="ru-RU"/>
              <w14:ligatures w14:val="standardContextual"/>
            </w:rPr>
          </w:pPr>
          <w:r/>
          <w:hyperlink w:tooltip="#_Toc230928836" w:anchor="_Toc230928836" w:history="1">
            <w:r>
              <w:rPr>
                <w:rStyle w:val="1321"/>
                <w:vanish w:val="0"/>
              </w:rPr>
              <w:t xml:space="preserve">3.</w:t>
            </w:r>
            <w:r>
              <w:rPr>
                <w:rStyle w:val="1321"/>
                <w:rFonts w:ascii="Calibri" w:hAnsi="Calibri" w:eastAsia="Arial" w:asciiTheme="minorHAnsi" w:hAnsiTheme="minorHAnsi" w:eastAsiaTheme="minorEastAsia"/>
                <w:b w:val="0"/>
                <w:caps w:val="0"/>
                <w:smallCaps w:val="0"/>
                <w:sz w:val="24"/>
                <w:szCs w:val="24"/>
                <w:lang w:eastAsia="ru-RU"/>
                <w14:ligatures w14:val="standardContextual"/>
              </w:rPr>
              <w:tab/>
            </w:r>
            <w:r>
              <w:fldChar w:fldCharType="begin"/>
            </w:r>
            <w:r>
              <w:instrText xml:space="preserve">PAGEREF _Toc230928836 \h</w:instrText>
            </w:r>
            <w:r>
              <w:fldChar w:fldCharType="separate"/>
            </w:r>
            <w:r>
              <w:rPr>
                <w:rStyle w:val="1321"/>
              </w:rPr>
              <w:t xml:space="preserve">Требования к Участникам</w:t>
              <w:tab/>
              <w:t xml:space="preserve">20</w:t>
            </w:r>
            <w:r>
              <w:fldChar w:fldCharType="end"/>
            </w:r>
          </w:hyperlink>
          <w:r>
            <w:rPr>
              <w:rFonts w:ascii="Calibri" w:hAnsi="Calibri" w:eastAsia="Arial" w:asciiTheme="minorHAnsi" w:hAnsiTheme="minorHAnsi" w:eastAsiaTheme="minorEastAsia"/>
              <w:b w:val="0"/>
              <w:caps w:val="0"/>
              <w:smallCaps w:val="0"/>
              <w:sz w:val="24"/>
              <w:szCs w:val="24"/>
              <w:lang w:eastAsia="ru-RU"/>
              <w14:ligatures w14:val="standardContextual"/>
            </w:rPr>
          </w:r>
          <w:r>
            <w:rPr>
              <w:rFonts w:ascii="Calibri" w:hAnsi="Calibri" w:eastAsia="Arial" w:asciiTheme="minorHAnsi" w:hAnsiTheme="minorHAnsi" w:eastAsiaTheme="minorEastAsia"/>
              <w:b w:val="0"/>
              <w:caps w:val="0"/>
              <w:smallCaps w:val="0"/>
              <w:sz w:val="24"/>
              <w:szCs w:val="24"/>
              <w:lang w:eastAsia="ru-RU"/>
              <w14:ligatures w14:val="standardContextual"/>
            </w:rPr>
          </w:r>
        </w:p>
        <w:p>
          <w:pPr>
            <w:pStyle w:val="1348"/>
            <w:rPr>
              <w:rFonts w:ascii="Calibri" w:hAnsi="Calibri" w:eastAsia="Arial" w:asciiTheme="minorHAnsi" w:hAnsiTheme="minorHAnsi" w:eastAsiaTheme="minorEastAsia"/>
              <w:sz w:val="24"/>
              <w:szCs w:val="24"/>
              <w:lang w:eastAsia="ru-RU"/>
              <w14:ligatures w14:val="standardContextual"/>
            </w:rPr>
          </w:pPr>
          <w:r/>
          <w:hyperlink w:tooltip="#_Toc230928837" w:anchor="_Toc230928837" w:history="1">
            <w:r>
              <w:rPr>
                <w:rStyle w:val="1321"/>
                <w:vanish w:val="0"/>
              </w:rPr>
              <w:t xml:space="preserve">3.1</w:t>
            </w:r>
            <w:r>
              <w:rPr>
                <w:rStyle w:val="1321"/>
                <w:rFonts w:ascii="Calibri" w:hAnsi="Calibri" w:eastAsia="Arial" w:asciiTheme="minorHAnsi" w:hAnsiTheme="minorHAnsi" w:eastAsiaTheme="minorEastAsia"/>
                <w:sz w:val="24"/>
                <w:szCs w:val="24"/>
                <w:lang w:eastAsia="ru-RU"/>
                <w14:ligatures w14:val="standardContextual"/>
              </w:rPr>
              <w:tab/>
            </w:r>
            <w:r>
              <w:fldChar w:fldCharType="begin"/>
            </w:r>
            <w:r>
              <w:instrText xml:space="preserve">PAGEREF _Toc230928837 \h</w:instrText>
            </w:r>
            <w:r>
              <w:fldChar w:fldCharType="separate"/>
            </w:r>
            <w:r>
              <w:rPr>
                <w:rStyle w:val="1321"/>
              </w:rPr>
              <w:t xml:space="preserve">Общие требования к Участникам</w:t>
              <w:tab/>
              <w:t xml:space="preserve">20</w:t>
            </w:r>
            <w:r>
              <w:fldChar w:fldCharType="end"/>
            </w:r>
          </w:hyperlink>
          <w:r>
            <w:rPr>
              <w:rFonts w:ascii="Calibri" w:hAnsi="Calibri" w:eastAsia="Arial" w:asciiTheme="minorHAnsi" w:hAnsiTheme="minorHAnsi" w:eastAsiaTheme="minorEastAsia"/>
              <w:sz w:val="24"/>
              <w:szCs w:val="24"/>
              <w:lang w:eastAsia="ru-RU"/>
              <w14:ligatures w14:val="standardContextual"/>
            </w:rPr>
          </w:r>
          <w:r>
            <w:rPr>
              <w:rFonts w:ascii="Calibri" w:hAnsi="Calibri" w:eastAsia="Arial" w:asciiTheme="minorHAnsi" w:hAnsiTheme="minorHAnsi" w:eastAsiaTheme="minorEastAsia"/>
              <w:sz w:val="24"/>
              <w:szCs w:val="24"/>
              <w:lang w:eastAsia="ru-RU"/>
              <w14:ligatures w14:val="standardContextual"/>
            </w:rPr>
          </w:r>
        </w:p>
        <w:p>
          <w:pPr>
            <w:pStyle w:val="1348"/>
            <w:rPr>
              <w:rFonts w:ascii="Calibri" w:hAnsi="Calibri" w:eastAsia="Arial" w:asciiTheme="minorHAnsi" w:hAnsiTheme="minorHAnsi" w:eastAsiaTheme="minorEastAsia"/>
              <w:sz w:val="24"/>
              <w:szCs w:val="24"/>
              <w:lang w:eastAsia="ru-RU"/>
              <w14:ligatures w14:val="standardContextual"/>
            </w:rPr>
          </w:pPr>
          <w:r/>
          <w:hyperlink w:tooltip="#_Toc230928838" w:anchor="_Toc230928838" w:history="1">
            <w:r>
              <w:rPr>
                <w:rStyle w:val="1321"/>
                <w:vanish w:val="0"/>
              </w:rPr>
              <w:t xml:space="preserve">3.2</w:t>
            </w:r>
            <w:r>
              <w:rPr>
                <w:rStyle w:val="1321"/>
                <w:rFonts w:ascii="Calibri" w:hAnsi="Calibri" w:eastAsia="Arial" w:asciiTheme="minorHAnsi" w:hAnsiTheme="minorHAnsi" w:eastAsiaTheme="minorEastAsia"/>
                <w:sz w:val="24"/>
                <w:szCs w:val="24"/>
                <w:lang w:eastAsia="ru-RU"/>
                <w14:ligatures w14:val="standardContextual"/>
              </w:rPr>
              <w:tab/>
            </w:r>
            <w:r>
              <w:fldChar w:fldCharType="begin"/>
            </w:r>
            <w:r>
              <w:instrText xml:space="preserve">PAGEREF _Toc230928838 \h</w:instrText>
            </w:r>
            <w:r>
              <w:fldChar w:fldCharType="separate"/>
            </w:r>
            <w:r>
              <w:rPr>
                <w:rStyle w:val="1321"/>
              </w:rPr>
              <w:t xml:space="preserve">Коллективные участники</w:t>
              <w:tab/>
              <w:t xml:space="preserve">20</w:t>
            </w:r>
            <w:r>
              <w:fldChar w:fldCharType="end"/>
            </w:r>
          </w:hyperlink>
          <w:r>
            <w:rPr>
              <w:rFonts w:ascii="Calibri" w:hAnsi="Calibri" w:eastAsia="Arial" w:asciiTheme="minorHAnsi" w:hAnsiTheme="minorHAnsi" w:eastAsiaTheme="minorEastAsia"/>
              <w:sz w:val="24"/>
              <w:szCs w:val="24"/>
              <w:lang w:eastAsia="ru-RU"/>
              <w14:ligatures w14:val="standardContextual"/>
            </w:rPr>
          </w:r>
          <w:r>
            <w:rPr>
              <w:rFonts w:ascii="Calibri" w:hAnsi="Calibri" w:eastAsia="Arial" w:asciiTheme="minorHAnsi" w:hAnsiTheme="minorHAnsi" w:eastAsiaTheme="minorEastAsia"/>
              <w:sz w:val="24"/>
              <w:szCs w:val="24"/>
              <w:lang w:eastAsia="ru-RU"/>
              <w14:ligatures w14:val="standardContextual"/>
            </w:rPr>
          </w:r>
        </w:p>
        <w:p>
          <w:pPr>
            <w:pStyle w:val="1348"/>
            <w:rPr>
              <w:rFonts w:ascii="Calibri" w:hAnsi="Calibri" w:eastAsia="Arial" w:asciiTheme="minorHAnsi" w:hAnsiTheme="minorHAnsi" w:eastAsiaTheme="minorEastAsia"/>
              <w:sz w:val="24"/>
              <w:szCs w:val="24"/>
              <w:lang w:eastAsia="ru-RU"/>
              <w14:ligatures w14:val="standardContextual"/>
            </w:rPr>
          </w:pPr>
          <w:r/>
          <w:hyperlink w:tooltip="#_Toc230928839" w:anchor="_Toc230928839" w:history="1">
            <w:r>
              <w:rPr>
                <w:rStyle w:val="1321"/>
                <w:vanish w:val="0"/>
              </w:rPr>
              <w:t xml:space="preserve">3.3</w:t>
            </w:r>
            <w:r>
              <w:rPr>
                <w:rStyle w:val="1321"/>
                <w:rFonts w:ascii="Calibri" w:hAnsi="Calibri" w:eastAsia="Arial" w:asciiTheme="minorHAnsi" w:hAnsiTheme="minorHAnsi" w:eastAsiaTheme="minorEastAsia"/>
                <w:sz w:val="24"/>
                <w:szCs w:val="24"/>
                <w:lang w:eastAsia="ru-RU"/>
                <w14:ligatures w14:val="standardContextual"/>
              </w:rPr>
              <w:tab/>
            </w:r>
            <w:r>
              <w:fldChar w:fldCharType="begin"/>
            </w:r>
            <w:r>
              <w:instrText xml:space="preserve">PAGEREF _Toc230928839 \h</w:instrText>
            </w:r>
            <w:r>
              <w:fldChar w:fldCharType="separate"/>
            </w:r>
            <w:r>
              <w:rPr>
                <w:rStyle w:val="1321"/>
              </w:rPr>
              <w:t xml:space="preserve">Генеральные подрядчики</w:t>
              <w:tab/>
              <w:t xml:space="preserve">22</w:t>
            </w:r>
            <w:r>
              <w:fldChar w:fldCharType="end"/>
            </w:r>
          </w:hyperlink>
          <w:r>
            <w:rPr>
              <w:rFonts w:ascii="Calibri" w:hAnsi="Calibri" w:eastAsia="Arial" w:asciiTheme="minorHAnsi" w:hAnsiTheme="minorHAnsi" w:eastAsiaTheme="minorEastAsia"/>
              <w:sz w:val="24"/>
              <w:szCs w:val="24"/>
              <w:lang w:eastAsia="ru-RU"/>
              <w14:ligatures w14:val="standardContextual"/>
            </w:rPr>
          </w:r>
          <w:r>
            <w:rPr>
              <w:rFonts w:ascii="Calibri" w:hAnsi="Calibri" w:eastAsia="Arial" w:asciiTheme="minorHAnsi" w:hAnsiTheme="minorHAnsi" w:eastAsiaTheme="minorEastAsia"/>
              <w:sz w:val="24"/>
              <w:szCs w:val="24"/>
              <w:lang w:eastAsia="ru-RU"/>
              <w14:ligatures w14:val="standardContextual"/>
            </w:rPr>
          </w:r>
        </w:p>
        <w:p>
          <w:pPr>
            <w:pStyle w:val="1348"/>
            <w:rPr>
              <w:rFonts w:ascii="Calibri" w:hAnsi="Calibri" w:eastAsia="Arial" w:asciiTheme="minorHAnsi" w:hAnsiTheme="minorHAnsi" w:eastAsiaTheme="minorEastAsia"/>
              <w:sz w:val="24"/>
              <w:szCs w:val="24"/>
              <w:lang w:eastAsia="ru-RU"/>
              <w14:ligatures w14:val="standardContextual"/>
            </w:rPr>
          </w:pPr>
          <w:r/>
          <w:hyperlink w:tooltip="#_Toc230928840" w:anchor="_Toc230928840" w:history="1">
            <w:r>
              <w:rPr>
                <w:rStyle w:val="1321"/>
                <w:vanish w:val="0"/>
              </w:rPr>
              <w:t xml:space="preserve">3.4</w:t>
            </w:r>
            <w:r>
              <w:rPr>
                <w:rStyle w:val="1321"/>
                <w:rFonts w:ascii="Calibri" w:hAnsi="Calibri" w:eastAsia="Arial" w:asciiTheme="minorHAnsi" w:hAnsiTheme="minorHAnsi" w:eastAsiaTheme="minorEastAsia"/>
                <w:sz w:val="24"/>
                <w:szCs w:val="24"/>
                <w:lang w:eastAsia="ru-RU"/>
                <w14:ligatures w14:val="standardContextual"/>
              </w:rPr>
              <w:tab/>
            </w:r>
            <w:r>
              <w:fldChar w:fldCharType="begin"/>
            </w:r>
            <w:r>
              <w:instrText xml:space="preserve">PAGEREF _Toc230928840 \h</w:instrText>
            </w:r>
            <w:r>
              <w:fldChar w:fldCharType="separate"/>
            </w:r>
            <w:r>
              <w:rPr>
                <w:rStyle w:val="1321"/>
              </w:rPr>
              <w:t xml:space="preserve">Привлечение субподрядчиков (соисполнителей) из числа субъектов МСП</w:t>
              <w:tab/>
              <w:t xml:space="preserve">23</w:t>
            </w:r>
            <w:r>
              <w:fldChar w:fldCharType="end"/>
            </w:r>
          </w:hyperlink>
          <w:r>
            <w:rPr>
              <w:rFonts w:ascii="Calibri" w:hAnsi="Calibri" w:eastAsia="Arial" w:asciiTheme="minorHAnsi" w:hAnsiTheme="minorHAnsi" w:eastAsiaTheme="minorEastAsia"/>
              <w:sz w:val="24"/>
              <w:szCs w:val="24"/>
              <w:lang w:eastAsia="ru-RU"/>
              <w14:ligatures w14:val="standardContextual"/>
            </w:rPr>
          </w:r>
          <w:r>
            <w:rPr>
              <w:rFonts w:ascii="Calibri" w:hAnsi="Calibri" w:eastAsia="Arial" w:asciiTheme="minorHAnsi" w:hAnsiTheme="minorHAnsi" w:eastAsiaTheme="minorEastAsia"/>
              <w:sz w:val="24"/>
              <w:szCs w:val="24"/>
              <w:lang w:eastAsia="ru-RU"/>
              <w14:ligatures w14:val="standardContextual"/>
            </w:rPr>
          </w:r>
        </w:p>
        <w:p>
          <w:pPr>
            <w:pStyle w:val="1349"/>
            <w:rPr>
              <w:rFonts w:ascii="Calibri" w:hAnsi="Calibri" w:eastAsia="Arial" w:asciiTheme="minorHAnsi" w:hAnsiTheme="minorHAnsi" w:eastAsiaTheme="minorEastAsia"/>
              <w:b w:val="0"/>
              <w:caps w:val="0"/>
              <w:smallCaps w:val="0"/>
              <w:sz w:val="24"/>
              <w:szCs w:val="24"/>
              <w:lang w:eastAsia="ru-RU"/>
              <w14:ligatures w14:val="standardContextual"/>
            </w:rPr>
          </w:pPr>
          <w:r/>
          <w:hyperlink w:tooltip="#_Toc230928841" w:anchor="_Toc230928841" w:history="1">
            <w:r>
              <w:rPr>
                <w:rStyle w:val="1321"/>
                <w:vanish w:val="0"/>
              </w:rPr>
              <w:t xml:space="preserve">4.</w:t>
            </w:r>
            <w:r>
              <w:rPr>
                <w:rStyle w:val="1321"/>
                <w:rFonts w:ascii="Calibri" w:hAnsi="Calibri" w:eastAsia="Arial" w:asciiTheme="minorHAnsi" w:hAnsiTheme="minorHAnsi" w:eastAsiaTheme="minorEastAsia"/>
                <w:b w:val="0"/>
                <w:caps w:val="0"/>
                <w:smallCaps w:val="0"/>
                <w:sz w:val="24"/>
                <w:szCs w:val="24"/>
                <w:lang w:eastAsia="ru-RU"/>
                <w14:ligatures w14:val="standardContextual"/>
              </w:rPr>
              <w:tab/>
            </w:r>
            <w:r>
              <w:fldChar w:fldCharType="begin"/>
            </w:r>
            <w:r>
              <w:instrText xml:space="preserve">PAGEREF _Toc230928841 \h</w:instrText>
            </w:r>
            <w:r>
              <w:fldChar w:fldCharType="separate"/>
            </w:r>
            <w:r>
              <w:rPr>
                <w:rStyle w:val="1321"/>
              </w:rPr>
              <w:t xml:space="preserve">Порядок проведения закупки</w:t>
              <w:tab/>
              <w:t xml:space="preserve">25</w:t>
            </w:r>
            <w:r>
              <w:fldChar w:fldCharType="end"/>
            </w:r>
          </w:hyperlink>
          <w:r>
            <w:rPr>
              <w:rFonts w:ascii="Calibri" w:hAnsi="Calibri" w:eastAsia="Arial" w:asciiTheme="minorHAnsi" w:hAnsiTheme="minorHAnsi" w:eastAsiaTheme="minorEastAsia"/>
              <w:b w:val="0"/>
              <w:caps w:val="0"/>
              <w:smallCaps w:val="0"/>
              <w:sz w:val="24"/>
              <w:szCs w:val="24"/>
              <w:lang w:eastAsia="ru-RU"/>
              <w14:ligatures w14:val="standardContextual"/>
            </w:rPr>
          </w:r>
          <w:r>
            <w:rPr>
              <w:rFonts w:ascii="Calibri" w:hAnsi="Calibri" w:eastAsia="Arial" w:asciiTheme="minorHAnsi" w:hAnsiTheme="minorHAnsi" w:eastAsiaTheme="minorEastAsia"/>
              <w:b w:val="0"/>
              <w:caps w:val="0"/>
              <w:smallCaps w:val="0"/>
              <w:sz w:val="24"/>
              <w:szCs w:val="24"/>
              <w:lang w:eastAsia="ru-RU"/>
              <w14:ligatures w14:val="standardContextual"/>
            </w:rPr>
          </w:r>
        </w:p>
        <w:p>
          <w:pPr>
            <w:pStyle w:val="1348"/>
            <w:rPr>
              <w:rFonts w:ascii="Calibri" w:hAnsi="Calibri" w:eastAsia="Arial" w:asciiTheme="minorHAnsi" w:hAnsiTheme="minorHAnsi" w:eastAsiaTheme="minorEastAsia"/>
              <w:sz w:val="24"/>
              <w:szCs w:val="24"/>
              <w:lang w:eastAsia="ru-RU"/>
              <w14:ligatures w14:val="standardContextual"/>
            </w:rPr>
          </w:pPr>
          <w:r/>
          <w:hyperlink w:tooltip="#_Toc230928842" w:anchor="_Toc230928842" w:history="1">
            <w:r>
              <w:rPr>
                <w:rStyle w:val="1321"/>
                <w:vanish w:val="0"/>
              </w:rPr>
              <w:t xml:space="preserve">4.1</w:t>
            </w:r>
            <w:r>
              <w:rPr>
                <w:rStyle w:val="1321"/>
                <w:rFonts w:ascii="Calibri" w:hAnsi="Calibri" w:eastAsia="Arial" w:asciiTheme="minorHAnsi" w:hAnsiTheme="minorHAnsi" w:eastAsiaTheme="minorEastAsia"/>
                <w:sz w:val="24"/>
                <w:szCs w:val="24"/>
                <w:lang w:eastAsia="ru-RU"/>
                <w14:ligatures w14:val="standardContextual"/>
              </w:rPr>
              <w:tab/>
            </w:r>
            <w:r>
              <w:fldChar w:fldCharType="begin"/>
            </w:r>
            <w:r>
              <w:instrText xml:space="preserve">PAGEREF _Toc230928842 \h</w:instrText>
            </w:r>
            <w:r>
              <w:fldChar w:fldCharType="separate"/>
            </w:r>
            <w:r>
              <w:rPr>
                <w:rStyle w:val="1321"/>
              </w:rPr>
              <w:t xml:space="preserve">Общий порядок проведения закупки</w:t>
              <w:tab/>
              <w:t xml:space="preserve">25</w:t>
            </w:r>
            <w:r>
              <w:fldChar w:fldCharType="end"/>
            </w:r>
          </w:hyperlink>
          <w:r>
            <w:rPr>
              <w:rFonts w:ascii="Calibri" w:hAnsi="Calibri" w:eastAsia="Arial" w:asciiTheme="minorHAnsi" w:hAnsiTheme="minorHAnsi" w:eastAsiaTheme="minorEastAsia"/>
              <w:sz w:val="24"/>
              <w:szCs w:val="24"/>
              <w:lang w:eastAsia="ru-RU"/>
              <w14:ligatures w14:val="standardContextual"/>
            </w:rPr>
          </w:r>
          <w:r>
            <w:rPr>
              <w:rFonts w:ascii="Calibri" w:hAnsi="Calibri" w:eastAsia="Arial" w:asciiTheme="minorHAnsi" w:hAnsiTheme="minorHAnsi" w:eastAsiaTheme="minorEastAsia"/>
              <w:sz w:val="24"/>
              <w:szCs w:val="24"/>
              <w:lang w:eastAsia="ru-RU"/>
              <w14:ligatures w14:val="standardContextual"/>
            </w:rPr>
          </w:r>
        </w:p>
        <w:p>
          <w:pPr>
            <w:pStyle w:val="1348"/>
            <w:rPr>
              <w:rFonts w:ascii="Calibri" w:hAnsi="Calibri" w:eastAsia="Arial" w:asciiTheme="minorHAnsi" w:hAnsiTheme="minorHAnsi" w:eastAsiaTheme="minorEastAsia"/>
              <w:sz w:val="24"/>
              <w:szCs w:val="24"/>
              <w:lang w:eastAsia="ru-RU"/>
              <w14:ligatures w14:val="standardContextual"/>
            </w:rPr>
          </w:pPr>
          <w:r/>
          <w:hyperlink w:tooltip="#_Toc230928843" w:anchor="_Toc230928843" w:history="1">
            <w:r>
              <w:rPr>
                <w:rStyle w:val="1321"/>
                <w:vanish w:val="0"/>
              </w:rPr>
              <w:t xml:space="preserve">4.2</w:t>
            </w:r>
            <w:r>
              <w:rPr>
                <w:rStyle w:val="1321"/>
                <w:rFonts w:ascii="Calibri" w:hAnsi="Calibri" w:eastAsia="Arial" w:asciiTheme="minorHAnsi" w:hAnsiTheme="minorHAnsi" w:eastAsiaTheme="minorEastAsia"/>
                <w:sz w:val="24"/>
                <w:szCs w:val="24"/>
                <w:lang w:eastAsia="ru-RU"/>
                <w14:ligatures w14:val="standardContextual"/>
              </w:rPr>
              <w:tab/>
            </w:r>
            <w:r>
              <w:fldChar w:fldCharType="begin"/>
            </w:r>
            <w:r>
              <w:instrText xml:space="preserve">PAGEREF _Toc230928843 \h</w:instrText>
            </w:r>
            <w:r>
              <w:fldChar w:fldCharType="separate"/>
            </w:r>
            <w:r>
              <w:rPr>
                <w:rStyle w:val="1321"/>
              </w:rPr>
              <w:t xml:space="preserve">Официальное размещение Извещения и Документации о закупке</w:t>
              <w:tab/>
              <w:t xml:space="preserve">26</w:t>
            </w:r>
            <w:r>
              <w:fldChar w:fldCharType="end"/>
            </w:r>
          </w:hyperlink>
          <w:r>
            <w:rPr>
              <w:rFonts w:ascii="Calibri" w:hAnsi="Calibri" w:eastAsia="Arial" w:asciiTheme="minorHAnsi" w:hAnsiTheme="minorHAnsi" w:eastAsiaTheme="minorEastAsia"/>
              <w:sz w:val="24"/>
              <w:szCs w:val="24"/>
              <w:lang w:eastAsia="ru-RU"/>
              <w14:ligatures w14:val="standardContextual"/>
            </w:rPr>
          </w:r>
          <w:r>
            <w:rPr>
              <w:rFonts w:ascii="Calibri" w:hAnsi="Calibri" w:eastAsia="Arial" w:asciiTheme="minorHAnsi" w:hAnsiTheme="minorHAnsi" w:eastAsiaTheme="minorEastAsia"/>
              <w:sz w:val="24"/>
              <w:szCs w:val="24"/>
              <w:lang w:eastAsia="ru-RU"/>
              <w14:ligatures w14:val="standardContextual"/>
            </w:rPr>
          </w:r>
        </w:p>
        <w:p>
          <w:pPr>
            <w:pStyle w:val="1348"/>
            <w:rPr>
              <w:rFonts w:ascii="Calibri" w:hAnsi="Calibri" w:eastAsia="Arial" w:asciiTheme="minorHAnsi" w:hAnsiTheme="minorHAnsi" w:eastAsiaTheme="minorEastAsia"/>
              <w:sz w:val="24"/>
              <w:szCs w:val="24"/>
              <w:lang w:eastAsia="ru-RU"/>
              <w14:ligatures w14:val="standardContextual"/>
            </w:rPr>
          </w:pPr>
          <w:r/>
          <w:hyperlink w:tooltip="#_Toc230928844" w:anchor="_Toc230928844" w:history="1">
            <w:r>
              <w:rPr>
                <w:rStyle w:val="1321"/>
                <w:vanish w:val="0"/>
              </w:rPr>
              <w:t xml:space="preserve">4.3</w:t>
            </w:r>
            <w:r>
              <w:rPr>
                <w:rStyle w:val="1321"/>
                <w:rFonts w:ascii="Calibri" w:hAnsi="Calibri" w:eastAsia="Arial" w:asciiTheme="minorHAnsi" w:hAnsiTheme="minorHAnsi" w:eastAsiaTheme="minorEastAsia"/>
                <w:sz w:val="24"/>
                <w:szCs w:val="24"/>
                <w:lang w:eastAsia="ru-RU"/>
                <w14:ligatures w14:val="standardContextual"/>
              </w:rPr>
              <w:tab/>
            </w:r>
            <w:r>
              <w:fldChar w:fldCharType="begin"/>
            </w:r>
            <w:r>
              <w:instrText xml:space="preserve">PAGEREF _Toc230928844 \h</w:instrText>
            </w:r>
            <w:r>
              <w:fldChar w:fldCharType="separate"/>
            </w:r>
            <w:r>
              <w:rPr>
                <w:rStyle w:val="1321"/>
              </w:rPr>
              <w:t xml:space="preserve">Подготовка заявки</w:t>
              <w:tab/>
              <w:t xml:space="preserve">26</w:t>
            </w:r>
            <w:r>
              <w:fldChar w:fldCharType="end"/>
            </w:r>
          </w:hyperlink>
          <w:r>
            <w:rPr>
              <w:rFonts w:ascii="Calibri" w:hAnsi="Calibri" w:eastAsia="Arial" w:asciiTheme="minorHAnsi" w:hAnsiTheme="minorHAnsi" w:eastAsiaTheme="minorEastAsia"/>
              <w:sz w:val="24"/>
              <w:szCs w:val="24"/>
              <w:lang w:eastAsia="ru-RU"/>
              <w14:ligatures w14:val="standardContextual"/>
            </w:rPr>
          </w:r>
          <w:r>
            <w:rPr>
              <w:rFonts w:ascii="Calibri" w:hAnsi="Calibri" w:eastAsia="Arial" w:asciiTheme="minorHAnsi" w:hAnsiTheme="minorHAnsi" w:eastAsiaTheme="minorEastAsia"/>
              <w:sz w:val="24"/>
              <w:szCs w:val="24"/>
              <w:lang w:eastAsia="ru-RU"/>
              <w14:ligatures w14:val="standardContextual"/>
            </w:rPr>
          </w:r>
        </w:p>
        <w:p>
          <w:pPr>
            <w:pStyle w:val="1348"/>
            <w:rPr>
              <w:rFonts w:ascii="Calibri" w:hAnsi="Calibri" w:eastAsia="Arial" w:asciiTheme="minorHAnsi" w:hAnsiTheme="minorHAnsi" w:eastAsiaTheme="minorEastAsia"/>
              <w:sz w:val="24"/>
              <w:szCs w:val="24"/>
              <w:lang w:eastAsia="ru-RU"/>
              <w14:ligatures w14:val="standardContextual"/>
            </w:rPr>
          </w:pPr>
          <w:r/>
          <w:hyperlink w:tooltip="#_Toc230928845" w:anchor="_Toc230928845" w:history="1">
            <w:r>
              <w:rPr>
                <w:rStyle w:val="1321"/>
                <w:vanish w:val="0"/>
              </w:rPr>
              <w:t xml:space="preserve">4.4</w:t>
            </w:r>
            <w:r>
              <w:rPr>
                <w:rStyle w:val="1321"/>
                <w:rFonts w:ascii="Calibri" w:hAnsi="Calibri" w:eastAsia="Arial" w:asciiTheme="minorHAnsi" w:hAnsiTheme="minorHAnsi" w:eastAsiaTheme="minorEastAsia"/>
                <w:sz w:val="24"/>
                <w:szCs w:val="24"/>
                <w:lang w:eastAsia="ru-RU"/>
                <w14:ligatures w14:val="standardContextual"/>
              </w:rPr>
              <w:tab/>
            </w:r>
            <w:r>
              <w:fldChar w:fldCharType="begin"/>
            </w:r>
            <w:r>
              <w:instrText xml:space="preserve">PAGEREF _Toc230928845 \h</w:instrText>
            </w:r>
            <w:r>
              <w:fldChar w:fldCharType="separate"/>
            </w:r>
            <w:r>
              <w:rPr>
                <w:rStyle w:val="1321"/>
              </w:rPr>
              <w:t xml:space="preserve">Разъяснение Документации о закупке</w:t>
              <w:tab/>
              <w:t xml:space="preserve">29</w:t>
            </w:r>
            <w:r>
              <w:fldChar w:fldCharType="end"/>
            </w:r>
          </w:hyperlink>
          <w:r>
            <w:rPr>
              <w:rFonts w:ascii="Calibri" w:hAnsi="Calibri" w:eastAsia="Arial" w:asciiTheme="minorHAnsi" w:hAnsiTheme="minorHAnsi" w:eastAsiaTheme="minorEastAsia"/>
              <w:sz w:val="24"/>
              <w:szCs w:val="24"/>
              <w:lang w:eastAsia="ru-RU"/>
              <w14:ligatures w14:val="standardContextual"/>
            </w:rPr>
          </w:r>
          <w:r>
            <w:rPr>
              <w:rFonts w:ascii="Calibri" w:hAnsi="Calibri" w:eastAsia="Arial" w:asciiTheme="minorHAnsi" w:hAnsiTheme="minorHAnsi" w:eastAsiaTheme="minorEastAsia"/>
              <w:sz w:val="24"/>
              <w:szCs w:val="24"/>
              <w:lang w:eastAsia="ru-RU"/>
              <w14:ligatures w14:val="standardContextual"/>
            </w:rPr>
          </w:r>
        </w:p>
        <w:p>
          <w:pPr>
            <w:pStyle w:val="1348"/>
            <w:rPr>
              <w:rFonts w:ascii="Calibri" w:hAnsi="Calibri" w:eastAsia="Arial" w:asciiTheme="minorHAnsi" w:hAnsiTheme="minorHAnsi" w:eastAsiaTheme="minorEastAsia"/>
              <w:sz w:val="24"/>
              <w:szCs w:val="24"/>
              <w:lang w:eastAsia="ru-RU"/>
              <w14:ligatures w14:val="standardContextual"/>
            </w:rPr>
          </w:pPr>
          <w:r/>
          <w:hyperlink w:tooltip="#_Toc230928846" w:anchor="_Toc230928846" w:history="1">
            <w:r>
              <w:rPr>
                <w:rStyle w:val="1321"/>
                <w:vanish w:val="0"/>
              </w:rPr>
              <w:t xml:space="preserve">4.5</w:t>
            </w:r>
            <w:r>
              <w:rPr>
                <w:rStyle w:val="1321"/>
                <w:rFonts w:ascii="Calibri" w:hAnsi="Calibri" w:eastAsia="Arial" w:asciiTheme="minorHAnsi" w:hAnsiTheme="minorHAnsi" w:eastAsiaTheme="minorEastAsia"/>
                <w:sz w:val="24"/>
                <w:szCs w:val="24"/>
                <w:lang w:eastAsia="ru-RU"/>
                <w14:ligatures w14:val="standardContextual"/>
              </w:rPr>
              <w:tab/>
            </w:r>
            <w:r>
              <w:fldChar w:fldCharType="begin"/>
            </w:r>
            <w:r>
              <w:instrText xml:space="preserve">PAGEREF _Toc230928846 \h</w:instrText>
            </w:r>
            <w:r>
              <w:fldChar w:fldCharType="separate"/>
            </w:r>
            <w:r>
              <w:rPr>
                <w:rStyle w:val="1321"/>
              </w:rPr>
              <w:t xml:space="preserve">Изменения Извещения и (или) Документации о закупке</w:t>
              <w:tab/>
              <w:t xml:space="preserve">29</w:t>
            </w:r>
            <w:r>
              <w:fldChar w:fldCharType="end"/>
            </w:r>
          </w:hyperlink>
          <w:r>
            <w:rPr>
              <w:rFonts w:ascii="Calibri" w:hAnsi="Calibri" w:eastAsia="Arial" w:asciiTheme="minorHAnsi" w:hAnsiTheme="minorHAnsi" w:eastAsiaTheme="minorEastAsia"/>
              <w:sz w:val="24"/>
              <w:szCs w:val="24"/>
              <w:lang w:eastAsia="ru-RU"/>
              <w14:ligatures w14:val="standardContextual"/>
            </w:rPr>
          </w:r>
          <w:r>
            <w:rPr>
              <w:rFonts w:ascii="Calibri" w:hAnsi="Calibri" w:eastAsia="Arial" w:asciiTheme="minorHAnsi" w:hAnsiTheme="minorHAnsi" w:eastAsiaTheme="minorEastAsia"/>
              <w:sz w:val="24"/>
              <w:szCs w:val="24"/>
              <w:lang w:eastAsia="ru-RU"/>
              <w14:ligatures w14:val="standardContextual"/>
            </w:rPr>
          </w:r>
        </w:p>
        <w:p>
          <w:pPr>
            <w:pStyle w:val="1348"/>
            <w:rPr>
              <w:rFonts w:ascii="Calibri" w:hAnsi="Calibri" w:eastAsia="Arial" w:asciiTheme="minorHAnsi" w:hAnsiTheme="minorHAnsi" w:eastAsiaTheme="minorEastAsia"/>
              <w:sz w:val="24"/>
              <w:szCs w:val="24"/>
              <w:lang w:eastAsia="ru-RU"/>
              <w14:ligatures w14:val="standardContextual"/>
            </w:rPr>
          </w:pPr>
          <w:r/>
          <w:hyperlink w:tooltip="#_Toc230928847" w:anchor="_Toc230928847" w:history="1">
            <w:r>
              <w:rPr>
                <w:rStyle w:val="1321"/>
                <w:vanish w:val="0"/>
              </w:rPr>
              <w:t xml:space="preserve">4.6</w:t>
            </w:r>
            <w:r>
              <w:rPr>
                <w:rStyle w:val="1321"/>
                <w:rFonts w:ascii="Calibri" w:hAnsi="Calibri" w:eastAsia="Arial" w:asciiTheme="minorHAnsi" w:hAnsiTheme="minorHAnsi" w:eastAsiaTheme="minorEastAsia"/>
                <w:sz w:val="24"/>
                <w:szCs w:val="24"/>
                <w:lang w:eastAsia="ru-RU"/>
                <w14:ligatures w14:val="standardContextual"/>
              </w:rPr>
              <w:tab/>
            </w:r>
            <w:r>
              <w:fldChar w:fldCharType="begin"/>
            </w:r>
            <w:r>
              <w:instrText xml:space="preserve">PAGEREF _Toc230928847 \h</w:instrText>
            </w:r>
            <w:r>
              <w:fldChar w:fldCharType="separate"/>
            </w:r>
            <w:r>
              <w:rPr>
                <w:rStyle w:val="1321"/>
              </w:rPr>
              <w:t xml:space="preserve">Подача заявок и их прием</w:t>
              <w:tab/>
              <w:t xml:space="preserve">30</w:t>
            </w:r>
            <w:r>
              <w:fldChar w:fldCharType="end"/>
            </w:r>
          </w:hyperlink>
          <w:r>
            <w:rPr>
              <w:rFonts w:ascii="Calibri" w:hAnsi="Calibri" w:eastAsia="Arial" w:asciiTheme="minorHAnsi" w:hAnsiTheme="minorHAnsi" w:eastAsiaTheme="minorEastAsia"/>
              <w:sz w:val="24"/>
              <w:szCs w:val="24"/>
              <w:lang w:eastAsia="ru-RU"/>
              <w14:ligatures w14:val="standardContextual"/>
            </w:rPr>
          </w:r>
          <w:r>
            <w:rPr>
              <w:rFonts w:ascii="Calibri" w:hAnsi="Calibri" w:eastAsia="Arial" w:asciiTheme="minorHAnsi" w:hAnsiTheme="minorHAnsi" w:eastAsiaTheme="minorEastAsia"/>
              <w:sz w:val="24"/>
              <w:szCs w:val="24"/>
              <w:lang w:eastAsia="ru-RU"/>
              <w14:ligatures w14:val="standardContextual"/>
            </w:rPr>
          </w:r>
        </w:p>
        <w:p>
          <w:pPr>
            <w:pStyle w:val="1348"/>
            <w:rPr>
              <w:rFonts w:ascii="Calibri" w:hAnsi="Calibri" w:eastAsia="Arial" w:asciiTheme="minorHAnsi" w:hAnsiTheme="minorHAnsi" w:eastAsiaTheme="minorEastAsia"/>
              <w:sz w:val="24"/>
              <w:szCs w:val="24"/>
              <w:lang w:eastAsia="ru-RU"/>
              <w14:ligatures w14:val="standardContextual"/>
            </w:rPr>
          </w:pPr>
          <w:r/>
          <w:hyperlink w:tooltip="#_Toc230928848" w:anchor="_Toc230928848" w:history="1">
            <w:r>
              <w:rPr>
                <w:rStyle w:val="1321"/>
                <w:vanish w:val="0"/>
              </w:rPr>
              <w:t xml:space="preserve">4.7</w:t>
            </w:r>
            <w:r>
              <w:rPr>
                <w:rStyle w:val="1321"/>
                <w:rFonts w:ascii="Calibri" w:hAnsi="Calibri" w:eastAsia="Arial" w:asciiTheme="minorHAnsi" w:hAnsiTheme="minorHAnsi" w:eastAsiaTheme="minorEastAsia"/>
                <w:sz w:val="24"/>
                <w:szCs w:val="24"/>
                <w:lang w:eastAsia="ru-RU"/>
                <w14:ligatures w14:val="standardContextual"/>
              </w:rPr>
              <w:tab/>
            </w:r>
            <w:r>
              <w:fldChar w:fldCharType="begin"/>
            </w:r>
            <w:r>
              <w:instrText xml:space="preserve">PAGEREF _Toc230928848 \h</w:instrText>
            </w:r>
            <w:r>
              <w:fldChar w:fldCharType="separate"/>
            </w:r>
            <w:r>
              <w:rPr>
                <w:rStyle w:val="1321"/>
              </w:rPr>
              <w:t xml:space="preserve">Изменение и отзыв заявок</w:t>
              <w:tab/>
              <w:t xml:space="preserve">30</w:t>
            </w:r>
            <w:r>
              <w:fldChar w:fldCharType="end"/>
            </w:r>
          </w:hyperlink>
          <w:r>
            <w:rPr>
              <w:rFonts w:ascii="Calibri" w:hAnsi="Calibri" w:eastAsia="Arial" w:asciiTheme="minorHAnsi" w:hAnsiTheme="minorHAnsi" w:eastAsiaTheme="minorEastAsia"/>
              <w:sz w:val="24"/>
              <w:szCs w:val="24"/>
              <w:lang w:eastAsia="ru-RU"/>
              <w14:ligatures w14:val="standardContextual"/>
            </w:rPr>
          </w:r>
          <w:r>
            <w:rPr>
              <w:rFonts w:ascii="Calibri" w:hAnsi="Calibri" w:eastAsia="Arial" w:asciiTheme="minorHAnsi" w:hAnsiTheme="minorHAnsi" w:eastAsiaTheme="minorEastAsia"/>
              <w:sz w:val="24"/>
              <w:szCs w:val="24"/>
              <w:lang w:eastAsia="ru-RU"/>
              <w14:ligatures w14:val="standardContextual"/>
            </w:rPr>
          </w:r>
        </w:p>
        <w:p>
          <w:pPr>
            <w:pStyle w:val="1348"/>
            <w:rPr>
              <w:rFonts w:ascii="Calibri" w:hAnsi="Calibri" w:eastAsia="Arial" w:asciiTheme="minorHAnsi" w:hAnsiTheme="minorHAnsi" w:eastAsiaTheme="minorEastAsia"/>
              <w:sz w:val="24"/>
              <w:szCs w:val="24"/>
              <w:lang w:eastAsia="ru-RU"/>
              <w14:ligatures w14:val="standardContextual"/>
            </w:rPr>
          </w:pPr>
          <w:r/>
          <w:hyperlink w:tooltip="#_Toc230928849" w:anchor="_Toc230928849" w:history="1">
            <w:r>
              <w:rPr>
                <w:rStyle w:val="1321"/>
                <w:vanish w:val="0"/>
              </w:rPr>
              <w:t xml:space="preserve">4.8</w:t>
            </w:r>
            <w:r>
              <w:rPr>
                <w:rStyle w:val="1321"/>
                <w:rFonts w:ascii="Calibri" w:hAnsi="Calibri" w:eastAsia="Arial" w:asciiTheme="minorHAnsi" w:hAnsiTheme="minorHAnsi" w:eastAsiaTheme="minorEastAsia"/>
                <w:sz w:val="24"/>
                <w:szCs w:val="24"/>
                <w:lang w:eastAsia="ru-RU"/>
                <w14:ligatures w14:val="standardContextual"/>
              </w:rPr>
              <w:tab/>
            </w:r>
            <w:r>
              <w:fldChar w:fldCharType="begin"/>
            </w:r>
            <w:r>
              <w:instrText xml:space="preserve">PAGEREF _Toc230928849 \h</w:instrText>
            </w:r>
            <w:r>
              <w:fldChar w:fldCharType="separate"/>
            </w:r>
            <w:r>
              <w:rPr>
                <w:rStyle w:val="1321"/>
              </w:rPr>
              <w:t xml:space="preserve">Открытие доступа к заявкам</w:t>
              <w:tab/>
              <w:t xml:space="preserve">31</w:t>
            </w:r>
            <w:r>
              <w:fldChar w:fldCharType="end"/>
            </w:r>
          </w:hyperlink>
          <w:r>
            <w:rPr>
              <w:rFonts w:ascii="Calibri" w:hAnsi="Calibri" w:eastAsia="Arial" w:asciiTheme="minorHAnsi" w:hAnsiTheme="minorHAnsi" w:eastAsiaTheme="minorEastAsia"/>
              <w:sz w:val="24"/>
              <w:szCs w:val="24"/>
              <w:lang w:eastAsia="ru-RU"/>
              <w14:ligatures w14:val="standardContextual"/>
            </w:rPr>
          </w:r>
          <w:r>
            <w:rPr>
              <w:rFonts w:ascii="Calibri" w:hAnsi="Calibri" w:eastAsia="Arial" w:asciiTheme="minorHAnsi" w:hAnsiTheme="minorHAnsi" w:eastAsiaTheme="minorEastAsia"/>
              <w:sz w:val="24"/>
              <w:szCs w:val="24"/>
              <w:lang w:eastAsia="ru-RU"/>
              <w14:ligatures w14:val="standardContextual"/>
            </w:rPr>
          </w:r>
        </w:p>
        <w:p>
          <w:pPr>
            <w:pStyle w:val="1348"/>
            <w:rPr>
              <w:rFonts w:ascii="Calibri" w:hAnsi="Calibri" w:eastAsia="Arial" w:asciiTheme="minorHAnsi" w:hAnsiTheme="minorHAnsi" w:eastAsiaTheme="minorEastAsia"/>
              <w:sz w:val="24"/>
              <w:szCs w:val="24"/>
              <w:lang w:eastAsia="ru-RU"/>
              <w14:ligatures w14:val="standardContextual"/>
            </w:rPr>
          </w:pPr>
          <w:r/>
          <w:hyperlink w:tooltip="#_Toc230928850" w:anchor="_Toc230928850" w:history="1">
            <w:r>
              <w:rPr>
                <w:rStyle w:val="1321"/>
                <w:vanish w:val="0"/>
              </w:rPr>
              <w:t xml:space="preserve">4.9</w:t>
            </w:r>
            <w:r>
              <w:rPr>
                <w:rStyle w:val="1321"/>
                <w:rFonts w:ascii="Calibri" w:hAnsi="Calibri" w:eastAsia="Arial" w:asciiTheme="minorHAnsi" w:hAnsiTheme="minorHAnsi" w:eastAsiaTheme="minorEastAsia"/>
                <w:sz w:val="24"/>
                <w:szCs w:val="24"/>
                <w:lang w:eastAsia="ru-RU"/>
                <w14:ligatures w14:val="standardContextual"/>
              </w:rPr>
              <w:tab/>
            </w:r>
            <w:r>
              <w:fldChar w:fldCharType="begin"/>
            </w:r>
            <w:r>
              <w:instrText xml:space="preserve">PAGEREF _Toc230928850 \h</w:instrText>
            </w:r>
            <w:r>
              <w:fldChar w:fldCharType="separate"/>
            </w:r>
            <w:r>
              <w:rPr>
                <w:rStyle w:val="1321"/>
              </w:rPr>
              <w:t xml:space="preserve">Рассмотрение заявок (отборочная стадия), в том числе (при необходимости) проведение аккредитации</w:t>
              <w:tab/>
              <w:t xml:space="preserve">31</w:t>
            </w:r>
            <w:r>
              <w:fldChar w:fldCharType="end"/>
            </w:r>
          </w:hyperlink>
          <w:r>
            <w:rPr>
              <w:rFonts w:ascii="Calibri" w:hAnsi="Calibri" w:eastAsia="Arial" w:asciiTheme="minorHAnsi" w:hAnsiTheme="minorHAnsi" w:eastAsiaTheme="minorEastAsia"/>
              <w:sz w:val="24"/>
              <w:szCs w:val="24"/>
              <w:lang w:eastAsia="ru-RU"/>
              <w14:ligatures w14:val="standardContextual"/>
            </w:rPr>
          </w:r>
          <w:r>
            <w:rPr>
              <w:rFonts w:ascii="Calibri" w:hAnsi="Calibri" w:eastAsia="Arial" w:asciiTheme="minorHAnsi" w:hAnsiTheme="minorHAnsi" w:eastAsiaTheme="minorEastAsia"/>
              <w:sz w:val="24"/>
              <w:szCs w:val="24"/>
              <w:lang w:eastAsia="ru-RU"/>
              <w14:ligatures w14:val="standardContextual"/>
            </w:rPr>
          </w:r>
        </w:p>
        <w:p>
          <w:pPr>
            <w:pStyle w:val="1348"/>
            <w:rPr>
              <w:rFonts w:ascii="Calibri" w:hAnsi="Calibri" w:eastAsia="Arial" w:asciiTheme="minorHAnsi" w:hAnsiTheme="minorHAnsi" w:eastAsiaTheme="minorEastAsia"/>
              <w:sz w:val="24"/>
              <w:szCs w:val="24"/>
              <w:lang w:eastAsia="ru-RU"/>
              <w14:ligatures w14:val="standardContextual"/>
            </w:rPr>
          </w:pPr>
          <w:r/>
          <w:hyperlink w:tooltip="#_Toc230928851" w:anchor="_Toc230928851" w:history="1">
            <w:r>
              <w:rPr>
                <w:rStyle w:val="1321"/>
                <w:vanish w:val="0"/>
              </w:rPr>
              <w:t xml:space="preserve">4.10</w:t>
            </w:r>
            <w:r>
              <w:rPr>
                <w:rStyle w:val="1321"/>
                <w:rFonts w:ascii="Calibri" w:hAnsi="Calibri" w:eastAsia="Arial" w:asciiTheme="minorHAnsi" w:hAnsiTheme="minorHAnsi" w:eastAsiaTheme="minorEastAsia"/>
                <w:sz w:val="24"/>
                <w:szCs w:val="24"/>
                <w:lang w:eastAsia="ru-RU"/>
                <w14:ligatures w14:val="standardContextual"/>
              </w:rPr>
              <w:tab/>
            </w:r>
            <w:r>
              <w:fldChar w:fldCharType="begin"/>
            </w:r>
            <w:r>
              <w:instrText xml:space="preserve">PAGEREF _Toc230928851 \h</w:instrText>
            </w:r>
            <w:r>
              <w:fldChar w:fldCharType="separate"/>
            </w:r>
            <w:r>
              <w:rPr>
                <w:rStyle w:val="1321"/>
              </w:rPr>
              <w:t xml:space="preserve">Дополнительные запросы разъяснений заявок</w:t>
              <w:tab/>
              <w:t xml:space="preserve">34</w:t>
            </w:r>
            <w:r>
              <w:fldChar w:fldCharType="end"/>
            </w:r>
          </w:hyperlink>
          <w:r>
            <w:rPr>
              <w:rFonts w:ascii="Calibri" w:hAnsi="Calibri" w:eastAsia="Arial" w:asciiTheme="minorHAnsi" w:hAnsiTheme="minorHAnsi" w:eastAsiaTheme="minorEastAsia"/>
              <w:sz w:val="24"/>
              <w:szCs w:val="24"/>
              <w:lang w:eastAsia="ru-RU"/>
              <w14:ligatures w14:val="standardContextual"/>
            </w:rPr>
          </w:r>
          <w:r>
            <w:rPr>
              <w:rFonts w:ascii="Calibri" w:hAnsi="Calibri" w:eastAsia="Arial" w:asciiTheme="minorHAnsi" w:hAnsiTheme="minorHAnsi" w:eastAsiaTheme="minorEastAsia"/>
              <w:sz w:val="24"/>
              <w:szCs w:val="24"/>
              <w:lang w:eastAsia="ru-RU"/>
              <w14:ligatures w14:val="standardContextual"/>
            </w:rPr>
          </w:r>
        </w:p>
        <w:p>
          <w:pPr>
            <w:pStyle w:val="1348"/>
            <w:rPr>
              <w:rFonts w:ascii="Calibri" w:hAnsi="Calibri" w:eastAsia="Arial" w:asciiTheme="minorHAnsi" w:hAnsiTheme="minorHAnsi" w:eastAsiaTheme="minorEastAsia"/>
              <w:sz w:val="24"/>
              <w:szCs w:val="24"/>
              <w:lang w:eastAsia="ru-RU"/>
              <w14:ligatures w14:val="standardContextual"/>
            </w:rPr>
          </w:pPr>
          <w:r/>
          <w:hyperlink w:tooltip="#_Toc230928852" w:anchor="_Toc230928852" w:history="1">
            <w:r>
              <w:rPr>
                <w:rStyle w:val="1321"/>
                <w:vanish w:val="0"/>
              </w:rPr>
              <w:t xml:space="preserve">4.11</w:t>
            </w:r>
            <w:r>
              <w:rPr>
                <w:rStyle w:val="1321"/>
                <w:rFonts w:ascii="Calibri" w:hAnsi="Calibri" w:eastAsia="Arial" w:asciiTheme="minorHAnsi" w:hAnsiTheme="minorHAnsi" w:eastAsiaTheme="minorEastAsia"/>
                <w:sz w:val="24"/>
                <w:szCs w:val="24"/>
                <w:lang w:eastAsia="ru-RU"/>
                <w14:ligatures w14:val="standardContextual"/>
              </w:rPr>
              <w:tab/>
            </w:r>
            <w:r>
              <w:fldChar w:fldCharType="begin"/>
            </w:r>
            <w:r>
              <w:instrText xml:space="preserve">PAGEREF _Toc230928852 \h</w:instrText>
            </w:r>
            <w:r>
              <w:fldChar w:fldCharType="separate"/>
            </w:r>
            <w:r>
              <w:rPr>
                <w:rStyle w:val="1321"/>
              </w:rPr>
              <w:t xml:space="preserve">Переторжка</w:t>
              <w:tab/>
              <w:t xml:space="preserve">35</w:t>
            </w:r>
            <w:r>
              <w:fldChar w:fldCharType="end"/>
            </w:r>
          </w:hyperlink>
          <w:r>
            <w:rPr>
              <w:rFonts w:ascii="Calibri" w:hAnsi="Calibri" w:eastAsia="Arial" w:asciiTheme="minorHAnsi" w:hAnsiTheme="minorHAnsi" w:eastAsiaTheme="minorEastAsia"/>
              <w:sz w:val="24"/>
              <w:szCs w:val="24"/>
              <w:lang w:eastAsia="ru-RU"/>
              <w14:ligatures w14:val="standardContextual"/>
            </w:rPr>
          </w:r>
          <w:r>
            <w:rPr>
              <w:rFonts w:ascii="Calibri" w:hAnsi="Calibri" w:eastAsia="Arial" w:asciiTheme="minorHAnsi" w:hAnsiTheme="minorHAnsi" w:eastAsiaTheme="minorEastAsia"/>
              <w:sz w:val="24"/>
              <w:szCs w:val="24"/>
              <w:lang w:eastAsia="ru-RU"/>
              <w14:ligatures w14:val="standardContextual"/>
            </w:rPr>
          </w:r>
        </w:p>
        <w:p>
          <w:pPr>
            <w:pStyle w:val="1348"/>
            <w:rPr>
              <w:rFonts w:ascii="Calibri" w:hAnsi="Calibri" w:eastAsia="Arial" w:asciiTheme="minorHAnsi" w:hAnsiTheme="minorHAnsi" w:eastAsiaTheme="minorEastAsia"/>
              <w:sz w:val="24"/>
              <w:szCs w:val="24"/>
              <w:lang w:eastAsia="ru-RU"/>
              <w14:ligatures w14:val="standardContextual"/>
            </w:rPr>
          </w:pPr>
          <w:r/>
          <w:hyperlink w:tooltip="#_Toc230928853" w:anchor="_Toc230928853" w:history="1">
            <w:r>
              <w:rPr>
                <w:rStyle w:val="1321"/>
                <w:vanish w:val="0"/>
              </w:rPr>
              <w:t xml:space="preserve">4.12</w:t>
            </w:r>
            <w:r>
              <w:rPr>
                <w:rStyle w:val="1321"/>
                <w:rFonts w:ascii="Calibri" w:hAnsi="Calibri" w:eastAsia="Arial" w:asciiTheme="minorHAnsi" w:hAnsiTheme="minorHAnsi" w:eastAsiaTheme="minorEastAsia"/>
                <w:sz w:val="24"/>
                <w:szCs w:val="24"/>
                <w:lang w:eastAsia="ru-RU"/>
                <w14:ligatures w14:val="standardContextual"/>
              </w:rPr>
              <w:tab/>
            </w:r>
            <w:r>
              <w:fldChar w:fldCharType="begin"/>
            </w:r>
            <w:r>
              <w:instrText xml:space="preserve">PAGEREF _Toc230928853 \h</w:instrText>
            </w:r>
            <w:r>
              <w:fldChar w:fldCharType="separate"/>
            </w:r>
            <w:r>
              <w:rPr>
                <w:rStyle w:val="1321"/>
              </w:rPr>
              <w:t xml:space="preserve">Оценка и сопоставление заявок</w:t>
              <w:tab/>
              <w:t xml:space="preserve">37</w:t>
            </w:r>
            <w:r>
              <w:fldChar w:fldCharType="end"/>
            </w:r>
          </w:hyperlink>
          <w:r>
            <w:rPr>
              <w:rFonts w:ascii="Calibri" w:hAnsi="Calibri" w:eastAsia="Arial" w:asciiTheme="minorHAnsi" w:hAnsiTheme="minorHAnsi" w:eastAsiaTheme="minorEastAsia"/>
              <w:sz w:val="24"/>
              <w:szCs w:val="24"/>
              <w:lang w:eastAsia="ru-RU"/>
              <w14:ligatures w14:val="standardContextual"/>
            </w:rPr>
          </w:r>
          <w:r>
            <w:rPr>
              <w:rFonts w:ascii="Calibri" w:hAnsi="Calibri" w:eastAsia="Arial" w:asciiTheme="minorHAnsi" w:hAnsiTheme="minorHAnsi" w:eastAsiaTheme="minorEastAsia"/>
              <w:sz w:val="24"/>
              <w:szCs w:val="24"/>
              <w:lang w:eastAsia="ru-RU"/>
              <w14:ligatures w14:val="standardContextual"/>
            </w:rPr>
          </w:r>
        </w:p>
        <w:p>
          <w:pPr>
            <w:pStyle w:val="1348"/>
            <w:rPr>
              <w:rFonts w:ascii="Calibri" w:hAnsi="Calibri" w:eastAsia="Arial" w:asciiTheme="minorHAnsi" w:hAnsiTheme="minorHAnsi" w:eastAsiaTheme="minorEastAsia"/>
              <w:sz w:val="24"/>
              <w:szCs w:val="24"/>
              <w:lang w:eastAsia="ru-RU"/>
              <w14:ligatures w14:val="standardContextual"/>
            </w:rPr>
          </w:pPr>
          <w:r/>
          <w:hyperlink w:tooltip="#_Toc230928854" w:anchor="_Toc230928854" w:history="1">
            <w:r>
              <w:rPr>
                <w:rStyle w:val="1321"/>
                <w:vanish w:val="0"/>
              </w:rPr>
              <w:t xml:space="preserve">4.13</w:t>
            </w:r>
            <w:r>
              <w:rPr>
                <w:rStyle w:val="1321"/>
                <w:rFonts w:ascii="Calibri" w:hAnsi="Calibri" w:eastAsia="Arial" w:asciiTheme="minorHAnsi" w:hAnsiTheme="minorHAnsi" w:eastAsiaTheme="minorEastAsia"/>
                <w:sz w:val="24"/>
                <w:szCs w:val="24"/>
                <w:lang w:eastAsia="ru-RU"/>
                <w14:ligatures w14:val="standardContextual"/>
              </w:rPr>
              <w:tab/>
            </w:r>
            <w:r>
              <w:fldChar w:fldCharType="begin"/>
            </w:r>
            <w:r>
              <w:instrText xml:space="preserve">PAGEREF _Toc230928854 \h</w:instrText>
            </w:r>
            <w:r>
              <w:fldChar w:fldCharType="separate"/>
            </w:r>
            <w:r>
              <w:rPr>
                <w:rStyle w:val="1321"/>
              </w:rPr>
              <w:t xml:space="preserve">Применение законодательства о национальном режиме</w:t>
              <w:tab/>
              <w:t xml:space="preserve">37</w:t>
            </w:r>
            <w:r>
              <w:fldChar w:fldCharType="end"/>
            </w:r>
          </w:hyperlink>
          <w:r>
            <w:rPr>
              <w:rFonts w:ascii="Calibri" w:hAnsi="Calibri" w:eastAsia="Arial" w:asciiTheme="minorHAnsi" w:hAnsiTheme="minorHAnsi" w:eastAsiaTheme="minorEastAsia"/>
              <w:sz w:val="24"/>
              <w:szCs w:val="24"/>
              <w:lang w:eastAsia="ru-RU"/>
              <w14:ligatures w14:val="standardContextual"/>
            </w:rPr>
          </w:r>
          <w:r>
            <w:rPr>
              <w:rFonts w:ascii="Calibri" w:hAnsi="Calibri" w:eastAsia="Arial" w:asciiTheme="minorHAnsi" w:hAnsiTheme="minorHAnsi" w:eastAsiaTheme="minorEastAsia"/>
              <w:sz w:val="24"/>
              <w:szCs w:val="24"/>
              <w:lang w:eastAsia="ru-RU"/>
              <w14:ligatures w14:val="standardContextual"/>
            </w:rPr>
          </w:r>
        </w:p>
        <w:p>
          <w:pPr>
            <w:pStyle w:val="1348"/>
            <w:rPr>
              <w:rFonts w:ascii="Calibri" w:hAnsi="Calibri" w:eastAsia="Arial" w:asciiTheme="minorHAnsi" w:hAnsiTheme="minorHAnsi" w:eastAsiaTheme="minorEastAsia"/>
              <w:sz w:val="24"/>
              <w:szCs w:val="24"/>
              <w:lang w:eastAsia="ru-RU"/>
              <w14:ligatures w14:val="standardContextual"/>
            </w:rPr>
          </w:pPr>
          <w:r/>
          <w:hyperlink w:tooltip="#_Toc230928855" w:anchor="_Toc230928855" w:history="1">
            <w:r>
              <w:rPr>
                <w:rStyle w:val="1321"/>
                <w:vanish w:val="0"/>
              </w:rPr>
              <w:t xml:space="preserve">4.14</w:t>
            </w:r>
            <w:r>
              <w:rPr>
                <w:rStyle w:val="1321"/>
                <w:rFonts w:ascii="Calibri" w:hAnsi="Calibri" w:eastAsia="Arial" w:asciiTheme="minorHAnsi" w:hAnsiTheme="minorHAnsi" w:eastAsiaTheme="minorEastAsia"/>
                <w:sz w:val="24"/>
                <w:szCs w:val="24"/>
                <w:lang w:eastAsia="ru-RU"/>
                <w14:ligatures w14:val="standardContextual"/>
              </w:rPr>
              <w:tab/>
            </w:r>
            <w:r>
              <w:fldChar w:fldCharType="begin"/>
            </w:r>
            <w:r>
              <w:instrText xml:space="preserve">PAGEREF _Toc230928855 \h</w:instrText>
            </w:r>
            <w:r>
              <w:fldChar w:fldCharType="separate"/>
            </w:r>
            <w:r>
              <w:rPr>
                <w:rStyle w:val="1321"/>
              </w:rPr>
              <w:t xml:space="preserve">Подведение итогов закупки (определение Победителя)</w:t>
              <w:tab/>
              <w:t xml:space="preserve">40</w:t>
            </w:r>
            <w:r>
              <w:fldChar w:fldCharType="end"/>
            </w:r>
          </w:hyperlink>
          <w:r>
            <w:rPr>
              <w:rFonts w:ascii="Calibri" w:hAnsi="Calibri" w:eastAsia="Arial" w:asciiTheme="minorHAnsi" w:hAnsiTheme="minorHAnsi" w:eastAsiaTheme="minorEastAsia"/>
              <w:sz w:val="24"/>
              <w:szCs w:val="24"/>
              <w:lang w:eastAsia="ru-RU"/>
              <w14:ligatures w14:val="standardContextual"/>
            </w:rPr>
          </w:r>
          <w:r>
            <w:rPr>
              <w:rFonts w:ascii="Calibri" w:hAnsi="Calibri" w:eastAsia="Arial" w:asciiTheme="minorHAnsi" w:hAnsiTheme="minorHAnsi" w:eastAsiaTheme="minorEastAsia"/>
              <w:sz w:val="24"/>
              <w:szCs w:val="24"/>
              <w:lang w:eastAsia="ru-RU"/>
              <w14:ligatures w14:val="standardContextual"/>
            </w:rPr>
          </w:r>
        </w:p>
        <w:p>
          <w:pPr>
            <w:pStyle w:val="1348"/>
            <w:rPr>
              <w:rFonts w:ascii="Calibri" w:hAnsi="Calibri" w:eastAsia="Arial" w:asciiTheme="minorHAnsi" w:hAnsiTheme="minorHAnsi" w:eastAsiaTheme="minorEastAsia"/>
              <w:sz w:val="24"/>
              <w:szCs w:val="24"/>
              <w:lang w:eastAsia="ru-RU"/>
              <w14:ligatures w14:val="standardContextual"/>
            </w:rPr>
          </w:pPr>
          <w:r/>
          <w:hyperlink w:tooltip="#_Toc230928856" w:anchor="_Toc230928856" w:history="1">
            <w:r>
              <w:rPr>
                <w:rStyle w:val="1321"/>
                <w:vanish w:val="0"/>
              </w:rPr>
              <w:t xml:space="preserve">4.15</w:t>
            </w:r>
            <w:r>
              <w:rPr>
                <w:rStyle w:val="1321"/>
                <w:rFonts w:ascii="Calibri" w:hAnsi="Calibri" w:eastAsia="Arial" w:asciiTheme="minorHAnsi" w:hAnsiTheme="minorHAnsi" w:eastAsiaTheme="minorEastAsia"/>
                <w:sz w:val="24"/>
                <w:szCs w:val="24"/>
                <w:lang w:eastAsia="ru-RU"/>
                <w14:ligatures w14:val="standardContextual"/>
              </w:rPr>
              <w:tab/>
            </w:r>
            <w:r>
              <w:fldChar w:fldCharType="begin"/>
            </w:r>
            <w:r>
              <w:instrText xml:space="preserve">PAGEREF _Toc230928856 \h</w:instrText>
            </w:r>
            <w:r>
              <w:fldChar w:fldCharType="separate"/>
            </w:r>
            <w:r>
              <w:rPr>
                <w:rStyle w:val="1321"/>
              </w:rPr>
              <w:t xml:space="preserve">Признание закупки несостоявшейся</w:t>
              <w:tab/>
              <w:t xml:space="preserve">41</w:t>
            </w:r>
            <w:r>
              <w:fldChar w:fldCharType="end"/>
            </w:r>
          </w:hyperlink>
          <w:r>
            <w:rPr>
              <w:rFonts w:ascii="Calibri" w:hAnsi="Calibri" w:eastAsia="Arial" w:asciiTheme="minorHAnsi" w:hAnsiTheme="minorHAnsi" w:eastAsiaTheme="minorEastAsia"/>
              <w:sz w:val="24"/>
              <w:szCs w:val="24"/>
              <w:lang w:eastAsia="ru-RU"/>
              <w14:ligatures w14:val="standardContextual"/>
            </w:rPr>
          </w:r>
          <w:r>
            <w:rPr>
              <w:rFonts w:ascii="Calibri" w:hAnsi="Calibri" w:eastAsia="Arial" w:asciiTheme="minorHAnsi" w:hAnsiTheme="minorHAnsi" w:eastAsiaTheme="minorEastAsia"/>
              <w:sz w:val="24"/>
              <w:szCs w:val="24"/>
              <w:lang w:eastAsia="ru-RU"/>
              <w14:ligatures w14:val="standardContextual"/>
            </w:rPr>
          </w:r>
        </w:p>
        <w:p>
          <w:pPr>
            <w:pStyle w:val="1348"/>
            <w:rPr>
              <w:rFonts w:ascii="Calibri" w:hAnsi="Calibri" w:eastAsia="Arial" w:asciiTheme="minorHAnsi" w:hAnsiTheme="minorHAnsi" w:eastAsiaTheme="minorEastAsia"/>
              <w:sz w:val="24"/>
              <w:szCs w:val="24"/>
              <w:lang w:eastAsia="ru-RU"/>
              <w14:ligatures w14:val="standardContextual"/>
            </w:rPr>
          </w:pPr>
          <w:r/>
          <w:hyperlink w:tooltip="#_Toc230928857" w:anchor="_Toc230928857" w:history="1">
            <w:r>
              <w:rPr>
                <w:rStyle w:val="1321"/>
                <w:vanish w:val="0"/>
              </w:rPr>
              <w:t xml:space="preserve">4.16</w:t>
            </w:r>
            <w:r>
              <w:rPr>
                <w:rStyle w:val="1321"/>
                <w:rFonts w:ascii="Calibri" w:hAnsi="Calibri" w:eastAsia="Arial" w:asciiTheme="minorHAnsi" w:hAnsiTheme="minorHAnsi" w:eastAsiaTheme="minorEastAsia"/>
                <w:sz w:val="24"/>
                <w:szCs w:val="24"/>
                <w:lang w:eastAsia="ru-RU"/>
                <w14:ligatures w14:val="standardContextual"/>
              </w:rPr>
              <w:tab/>
            </w:r>
            <w:r>
              <w:fldChar w:fldCharType="begin"/>
            </w:r>
            <w:r>
              <w:instrText xml:space="preserve">PAGEREF _Toc230928857 \h</w:instrText>
            </w:r>
            <w:r>
              <w:fldChar w:fldCharType="separate"/>
            </w:r>
            <w:r>
              <w:rPr>
                <w:rStyle w:val="1321"/>
              </w:rPr>
              <w:t xml:space="preserve">Отказ от проведения закупки (отмена закупки)</w:t>
              <w:tab/>
              <w:t xml:space="preserve">42</w:t>
            </w:r>
            <w:r>
              <w:fldChar w:fldCharType="end"/>
            </w:r>
          </w:hyperlink>
          <w:r>
            <w:rPr>
              <w:rFonts w:ascii="Calibri" w:hAnsi="Calibri" w:eastAsia="Arial" w:asciiTheme="minorHAnsi" w:hAnsiTheme="minorHAnsi" w:eastAsiaTheme="minorEastAsia"/>
              <w:sz w:val="24"/>
              <w:szCs w:val="24"/>
              <w:lang w:eastAsia="ru-RU"/>
              <w14:ligatures w14:val="standardContextual"/>
            </w:rPr>
          </w:r>
          <w:r>
            <w:rPr>
              <w:rFonts w:ascii="Calibri" w:hAnsi="Calibri" w:eastAsia="Arial" w:asciiTheme="minorHAnsi" w:hAnsiTheme="minorHAnsi" w:eastAsiaTheme="minorEastAsia"/>
              <w:sz w:val="24"/>
              <w:szCs w:val="24"/>
              <w:lang w:eastAsia="ru-RU"/>
              <w14:ligatures w14:val="standardContextual"/>
            </w:rPr>
          </w:r>
        </w:p>
        <w:p>
          <w:pPr>
            <w:pStyle w:val="1348"/>
            <w:rPr>
              <w:rFonts w:ascii="Calibri" w:hAnsi="Calibri" w:eastAsia="Arial" w:asciiTheme="minorHAnsi" w:hAnsiTheme="minorHAnsi" w:eastAsiaTheme="minorEastAsia"/>
              <w:sz w:val="24"/>
              <w:szCs w:val="24"/>
              <w:lang w:eastAsia="ru-RU"/>
              <w14:ligatures w14:val="standardContextual"/>
            </w:rPr>
          </w:pPr>
          <w:r/>
          <w:hyperlink w:tooltip="#_Toc230928858" w:anchor="_Toc230928858" w:history="1">
            <w:r>
              <w:rPr>
                <w:rStyle w:val="1321"/>
                <w:vanish w:val="0"/>
              </w:rPr>
              <w:t xml:space="preserve">4.17</w:t>
            </w:r>
            <w:r>
              <w:rPr>
                <w:rStyle w:val="1321"/>
                <w:rFonts w:ascii="Calibri" w:hAnsi="Calibri" w:eastAsia="Arial" w:asciiTheme="minorHAnsi" w:hAnsiTheme="minorHAnsi" w:eastAsiaTheme="minorEastAsia"/>
                <w:sz w:val="24"/>
                <w:szCs w:val="24"/>
                <w:lang w:eastAsia="ru-RU"/>
                <w14:ligatures w14:val="standardContextual"/>
              </w:rPr>
              <w:tab/>
            </w:r>
            <w:r>
              <w:fldChar w:fldCharType="begin"/>
            </w:r>
            <w:r>
              <w:instrText xml:space="preserve">PAGEREF _Toc230928858 \h</w:instrText>
            </w:r>
            <w:r>
              <w:fldChar w:fldCharType="separate"/>
            </w:r>
            <w:r>
              <w:rPr>
                <w:rStyle w:val="1321"/>
              </w:rPr>
              <w:t xml:space="preserve">Особенности проведения закупки с необходимостью обеспечения заявки</w:t>
              <w:tab/>
              <w:t xml:space="preserve">43</w:t>
            </w:r>
            <w:r>
              <w:fldChar w:fldCharType="end"/>
            </w:r>
          </w:hyperlink>
          <w:r>
            <w:rPr>
              <w:rFonts w:ascii="Calibri" w:hAnsi="Calibri" w:eastAsia="Arial" w:asciiTheme="minorHAnsi" w:hAnsiTheme="minorHAnsi" w:eastAsiaTheme="minorEastAsia"/>
              <w:sz w:val="24"/>
              <w:szCs w:val="24"/>
              <w:lang w:eastAsia="ru-RU"/>
              <w14:ligatures w14:val="standardContextual"/>
            </w:rPr>
          </w:r>
          <w:r>
            <w:rPr>
              <w:rFonts w:ascii="Calibri" w:hAnsi="Calibri" w:eastAsia="Arial" w:asciiTheme="minorHAnsi" w:hAnsiTheme="minorHAnsi" w:eastAsiaTheme="minorEastAsia"/>
              <w:sz w:val="24"/>
              <w:szCs w:val="24"/>
              <w:lang w:eastAsia="ru-RU"/>
              <w14:ligatures w14:val="standardContextual"/>
            </w:rPr>
          </w:r>
        </w:p>
        <w:p>
          <w:pPr>
            <w:pStyle w:val="1348"/>
            <w:rPr>
              <w:rFonts w:ascii="Calibri" w:hAnsi="Calibri" w:eastAsia="Arial" w:asciiTheme="minorHAnsi" w:hAnsiTheme="minorHAnsi" w:eastAsiaTheme="minorEastAsia"/>
              <w:sz w:val="24"/>
              <w:szCs w:val="24"/>
              <w:lang w:eastAsia="ru-RU"/>
              <w14:ligatures w14:val="standardContextual"/>
            </w:rPr>
          </w:pPr>
          <w:r/>
          <w:hyperlink w:tooltip="#_Toc230928859" w:anchor="_Toc230928859" w:history="1">
            <w:r>
              <w:rPr>
                <w:rStyle w:val="1321"/>
                <w:vanish w:val="0"/>
              </w:rPr>
              <w:t xml:space="preserve">4.18</w:t>
            </w:r>
            <w:r>
              <w:rPr>
                <w:rStyle w:val="1321"/>
                <w:rFonts w:ascii="Calibri" w:hAnsi="Calibri" w:eastAsia="Arial" w:asciiTheme="minorHAnsi" w:hAnsiTheme="minorHAnsi" w:eastAsiaTheme="minorEastAsia"/>
                <w:sz w:val="24"/>
                <w:szCs w:val="24"/>
                <w:lang w:eastAsia="ru-RU"/>
                <w14:ligatures w14:val="standardContextual"/>
              </w:rPr>
              <w:tab/>
            </w:r>
            <w:r>
              <w:fldChar w:fldCharType="begin"/>
            </w:r>
            <w:r>
              <w:instrText xml:space="preserve">PAGEREF _Toc230928859 \h</w:instrText>
            </w:r>
            <w:r>
              <w:fldChar w:fldCharType="separate"/>
            </w:r>
            <w:r>
              <w:rPr>
                <w:rStyle w:val="1321"/>
              </w:rPr>
              <w:t xml:space="preserve">Особенности проведения многолотовой закупки</w:t>
              <w:tab/>
              <w:t xml:space="preserve">45</w:t>
            </w:r>
            <w:r>
              <w:fldChar w:fldCharType="end"/>
            </w:r>
          </w:hyperlink>
          <w:r>
            <w:rPr>
              <w:rFonts w:ascii="Calibri" w:hAnsi="Calibri" w:eastAsia="Arial" w:asciiTheme="minorHAnsi" w:hAnsiTheme="minorHAnsi" w:eastAsiaTheme="minorEastAsia"/>
              <w:sz w:val="24"/>
              <w:szCs w:val="24"/>
              <w:lang w:eastAsia="ru-RU"/>
              <w14:ligatures w14:val="standardContextual"/>
            </w:rPr>
          </w:r>
          <w:r>
            <w:rPr>
              <w:rFonts w:ascii="Calibri" w:hAnsi="Calibri" w:eastAsia="Arial" w:asciiTheme="minorHAnsi" w:hAnsiTheme="minorHAnsi" w:eastAsiaTheme="minorEastAsia"/>
              <w:sz w:val="24"/>
              <w:szCs w:val="24"/>
              <w:lang w:eastAsia="ru-RU"/>
              <w14:ligatures w14:val="standardContextual"/>
            </w:rPr>
          </w:r>
        </w:p>
        <w:p>
          <w:pPr>
            <w:pStyle w:val="1348"/>
            <w:rPr>
              <w:rFonts w:ascii="Calibri" w:hAnsi="Calibri" w:eastAsia="Arial" w:asciiTheme="minorHAnsi" w:hAnsiTheme="minorHAnsi" w:eastAsiaTheme="minorEastAsia"/>
              <w:sz w:val="24"/>
              <w:szCs w:val="24"/>
              <w:lang w:eastAsia="ru-RU"/>
              <w14:ligatures w14:val="standardContextual"/>
            </w:rPr>
          </w:pPr>
          <w:r/>
          <w:hyperlink w:tooltip="#_Toc230928860" w:anchor="_Toc230928860" w:history="1">
            <w:r>
              <w:rPr>
                <w:rStyle w:val="1321"/>
                <w:vanish w:val="0"/>
              </w:rPr>
              <w:t xml:space="preserve">4.19</w:t>
            </w:r>
            <w:r>
              <w:rPr>
                <w:rStyle w:val="1321"/>
                <w:rFonts w:ascii="Calibri" w:hAnsi="Calibri" w:eastAsia="Arial" w:asciiTheme="minorHAnsi" w:hAnsiTheme="minorHAnsi" w:eastAsiaTheme="minorEastAsia"/>
                <w:sz w:val="24"/>
                <w:szCs w:val="24"/>
                <w:lang w:eastAsia="ru-RU"/>
                <w14:ligatures w14:val="standardContextual"/>
              </w:rPr>
              <w:tab/>
            </w:r>
            <w:r>
              <w:fldChar w:fldCharType="begin"/>
            </w:r>
            <w:r>
              <w:instrText xml:space="preserve">PAGEREF _Toc230928860 \h</w:instrText>
            </w:r>
            <w:r>
              <w:fldChar w:fldCharType="separate"/>
            </w:r>
            <w:r>
              <w:rPr>
                <w:rStyle w:val="1321"/>
              </w:rPr>
              <w:t xml:space="preserve">Особенности проведения закупки с возможностью подачи альтернативных предложений</w:t>
              <w:tab/>
              <w:t xml:space="preserve">46</w:t>
            </w:r>
            <w:r>
              <w:fldChar w:fldCharType="end"/>
            </w:r>
          </w:hyperlink>
          <w:r>
            <w:rPr>
              <w:rFonts w:ascii="Calibri" w:hAnsi="Calibri" w:eastAsia="Arial" w:asciiTheme="minorHAnsi" w:hAnsiTheme="minorHAnsi" w:eastAsiaTheme="minorEastAsia"/>
              <w:sz w:val="24"/>
              <w:szCs w:val="24"/>
              <w:lang w:eastAsia="ru-RU"/>
              <w14:ligatures w14:val="standardContextual"/>
            </w:rPr>
          </w:r>
          <w:r>
            <w:rPr>
              <w:rFonts w:ascii="Calibri" w:hAnsi="Calibri" w:eastAsia="Arial" w:asciiTheme="minorHAnsi" w:hAnsiTheme="minorHAnsi" w:eastAsiaTheme="minorEastAsia"/>
              <w:sz w:val="24"/>
              <w:szCs w:val="24"/>
              <w:lang w:eastAsia="ru-RU"/>
              <w14:ligatures w14:val="standardContextual"/>
            </w:rPr>
          </w:r>
        </w:p>
        <w:p>
          <w:pPr>
            <w:pStyle w:val="1349"/>
            <w:rPr>
              <w:rFonts w:ascii="Calibri" w:hAnsi="Calibri" w:eastAsia="Arial" w:asciiTheme="minorHAnsi" w:hAnsiTheme="minorHAnsi" w:eastAsiaTheme="minorEastAsia"/>
              <w:b w:val="0"/>
              <w:caps w:val="0"/>
              <w:smallCaps w:val="0"/>
              <w:sz w:val="24"/>
              <w:szCs w:val="24"/>
              <w:lang w:eastAsia="ru-RU"/>
              <w14:ligatures w14:val="standardContextual"/>
            </w:rPr>
          </w:pPr>
          <w:r/>
          <w:hyperlink w:tooltip="#_Toc230928861" w:anchor="_Toc230928861" w:history="1">
            <w:r>
              <w:rPr>
                <w:rStyle w:val="1321"/>
                <w:vanish w:val="0"/>
              </w:rPr>
              <w:t xml:space="preserve">5.</w:t>
            </w:r>
            <w:r>
              <w:rPr>
                <w:rStyle w:val="1321"/>
                <w:rFonts w:ascii="Calibri" w:hAnsi="Calibri" w:eastAsia="Arial" w:asciiTheme="minorHAnsi" w:hAnsiTheme="minorHAnsi" w:eastAsiaTheme="minorEastAsia"/>
                <w:b w:val="0"/>
                <w:caps w:val="0"/>
                <w:smallCaps w:val="0"/>
                <w:sz w:val="24"/>
                <w:szCs w:val="24"/>
                <w:lang w:eastAsia="ru-RU"/>
                <w14:ligatures w14:val="standardContextual"/>
              </w:rPr>
              <w:tab/>
            </w:r>
            <w:r>
              <w:fldChar w:fldCharType="begin"/>
            </w:r>
            <w:r>
              <w:instrText xml:space="preserve">PAGEREF _Toc230928861 \h</w:instrText>
            </w:r>
            <w:r>
              <w:fldChar w:fldCharType="separate"/>
            </w:r>
            <w:r>
              <w:rPr>
                <w:rStyle w:val="1321"/>
              </w:rPr>
              <w:t xml:space="preserve">Порядок заключения Договора</w:t>
              <w:tab/>
              <w:t xml:space="preserve">48</w:t>
            </w:r>
            <w:r>
              <w:fldChar w:fldCharType="end"/>
            </w:r>
          </w:hyperlink>
          <w:r>
            <w:rPr>
              <w:rFonts w:ascii="Calibri" w:hAnsi="Calibri" w:eastAsia="Arial" w:asciiTheme="minorHAnsi" w:hAnsiTheme="minorHAnsi" w:eastAsiaTheme="minorEastAsia"/>
              <w:b w:val="0"/>
              <w:caps w:val="0"/>
              <w:smallCaps w:val="0"/>
              <w:sz w:val="24"/>
              <w:szCs w:val="24"/>
              <w:lang w:eastAsia="ru-RU"/>
              <w14:ligatures w14:val="standardContextual"/>
            </w:rPr>
          </w:r>
          <w:r>
            <w:rPr>
              <w:rFonts w:ascii="Calibri" w:hAnsi="Calibri" w:eastAsia="Arial" w:asciiTheme="minorHAnsi" w:hAnsiTheme="minorHAnsi" w:eastAsiaTheme="minorEastAsia"/>
              <w:b w:val="0"/>
              <w:caps w:val="0"/>
              <w:smallCaps w:val="0"/>
              <w:sz w:val="24"/>
              <w:szCs w:val="24"/>
              <w:lang w:eastAsia="ru-RU"/>
              <w14:ligatures w14:val="standardContextual"/>
            </w:rPr>
          </w:r>
        </w:p>
        <w:p>
          <w:pPr>
            <w:pStyle w:val="1348"/>
            <w:rPr>
              <w:rFonts w:ascii="Calibri" w:hAnsi="Calibri" w:eastAsia="Arial" w:asciiTheme="minorHAnsi" w:hAnsiTheme="minorHAnsi" w:eastAsiaTheme="minorEastAsia"/>
              <w:sz w:val="24"/>
              <w:szCs w:val="24"/>
              <w:lang w:eastAsia="ru-RU"/>
              <w14:ligatures w14:val="standardContextual"/>
            </w:rPr>
          </w:pPr>
          <w:r/>
          <w:hyperlink w:tooltip="#_Toc230928862" w:anchor="_Toc230928862" w:history="1">
            <w:r>
              <w:rPr>
                <w:rStyle w:val="1321"/>
                <w:vanish w:val="0"/>
              </w:rPr>
              <w:t xml:space="preserve">5.1</w:t>
            </w:r>
            <w:r>
              <w:rPr>
                <w:rStyle w:val="1321"/>
                <w:rFonts w:ascii="Calibri" w:hAnsi="Calibri" w:eastAsia="Arial" w:asciiTheme="minorHAnsi" w:hAnsiTheme="minorHAnsi" w:eastAsiaTheme="minorEastAsia"/>
                <w:sz w:val="24"/>
                <w:szCs w:val="24"/>
                <w:lang w:eastAsia="ru-RU"/>
                <w14:ligatures w14:val="standardContextual"/>
              </w:rPr>
              <w:tab/>
            </w:r>
            <w:r>
              <w:fldChar w:fldCharType="begin"/>
            </w:r>
            <w:r>
              <w:instrText xml:space="preserve">PAGEREF _Toc230928862 \h</w:instrText>
            </w:r>
            <w:r>
              <w:fldChar w:fldCharType="separate"/>
            </w:r>
            <w:r>
              <w:rPr>
                <w:rStyle w:val="1321"/>
              </w:rPr>
              <w:t xml:space="preserve">Общие положения</w:t>
              <w:tab/>
              <w:t xml:space="preserve">48</w:t>
            </w:r>
            <w:r>
              <w:fldChar w:fldCharType="end"/>
            </w:r>
          </w:hyperlink>
          <w:r>
            <w:rPr>
              <w:rFonts w:ascii="Calibri" w:hAnsi="Calibri" w:eastAsia="Arial" w:asciiTheme="minorHAnsi" w:hAnsiTheme="minorHAnsi" w:eastAsiaTheme="minorEastAsia"/>
              <w:sz w:val="24"/>
              <w:szCs w:val="24"/>
              <w:lang w:eastAsia="ru-RU"/>
              <w14:ligatures w14:val="standardContextual"/>
            </w:rPr>
          </w:r>
          <w:r>
            <w:rPr>
              <w:rFonts w:ascii="Calibri" w:hAnsi="Calibri" w:eastAsia="Arial" w:asciiTheme="minorHAnsi" w:hAnsiTheme="minorHAnsi" w:eastAsiaTheme="minorEastAsia"/>
              <w:sz w:val="24"/>
              <w:szCs w:val="24"/>
              <w:lang w:eastAsia="ru-RU"/>
              <w14:ligatures w14:val="standardContextual"/>
            </w:rPr>
          </w:r>
        </w:p>
        <w:p>
          <w:pPr>
            <w:pStyle w:val="1348"/>
            <w:rPr>
              <w:rFonts w:ascii="Calibri" w:hAnsi="Calibri" w:eastAsia="Arial" w:asciiTheme="minorHAnsi" w:hAnsiTheme="minorHAnsi" w:eastAsiaTheme="minorEastAsia"/>
              <w:sz w:val="24"/>
              <w:szCs w:val="24"/>
              <w:lang w:eastAsia="ru-RU"/>
              <w14:ligatures w14:val="standardContextual"/>
            </w:rPr>
          </w:pPr>
          <w:r/>
          <w:hyperlink w:tooltip="#_Toc230928863" w:anchor="_Toc230928863" w:history="1">
            <w:r>
              <w:rPr>
                <w:rStyle w:val="1321"/>
                <w:vanish w:val="0"/>
              </w:rPr>
              <w:t xml:space="preserve">5.2</w:t>
            </w:r>
            <w:r>
              <w:rPr>
                <w:rStyle w:val="1321"/>
                <w:rFonts w:ascii="Calibri" w:hAnsi="Calibri" w:eastAsia="Arial" w:asciiTheme="minorHAnsi" w:hAnsiTheme="minorHAnsi" w:eastAsiaTheme="minorEastAsia"/>
                <w:sz w:val="24"/>
                <w:szCs w:val="24"/>
                <w:lang w:eastAsia="ru-RU"/>
                <w14:ligatures w14:val="standardContextual"/>
              </w:rPr>
              <w:tab/>
            </w:r>
            <w:r>
              <w:fldChar w:fldCharType="begin"/>
            </w:r>
            <w:r>
              <w:instrText xml:space="preserve">PAGEREF _Toc230928863 \h</w:instrText>
            </w:r>
            <w:r>
              <w:fldChar w:fldCharType="separate"/>
            </w:r>
            <w:r>
              <w:rPr>
                <w:rStyle w:val="1321"/>
              </w:rPr>
              <w:t xml:space="preserve">Заключение Договора</w:t>
              <w:tab/>
              <w:t xml:space="preserve">48</w:t>
            </w:r>
            <w:r>
              <w:fldChar w:fldCharType="end"/>
            </w:r>
          </w:hyperlink>
          <w:r>
            <w:rPr>
              <w:rFonts w:ascii="Calibri" w:hAnsi="Calibri" w:eastAsia="Arial" w:asciiTheme="minorHAnsi" w:hAnsiTheme="minorHAnsi" w:eastAsiaTheme="minorEastAsia"/>
              <w:sz w:val="24"/>
              <w:szCs w:val="24"/>
              <w:lang w:eastAsia="ru-RU"/>
              <w14:ligatures w14:val="standardContextual"/>
            </w:rPr>
          </w:r>
          <w:r>
            <w:rPr>
              <w:rFonts w:ascii="Calibri" w:hAnsi="Calibri" w:eastAsia="Arial" w:asciiTheme="minorHAnsi" w:hAnsiTheme="minorHAnsi" w:eastAsiaTheme="minorEastAsia"/>
              <w:sz w:val="24"/>
              <w:szCs w:val="24"/>
              <w:lang w:eastAsia="ru-RU"/>
              <w14:ligatures w14:val="standardContextual"/>
            </w:rPr>
          </w:r>
        </w:p>
        <w:p>
          <w:pPr>
            <w:pStyle w:val="1348"/>
            <w:rPr>
              <w:rFonts w:ascii="Calibri" w:hAnsi="Calibri" w:eastAsia="Arial" w:asciiTheme="minorHAnsi" w:hAnsiTheme="minorHAnsi" w:eastAsiaTheme="minorEastAsia"/>
              <w:sz w:val="24"/>
              <w:szCs w:val="24"/>
              <w:lang w:eastAsia="ru-RU"/>
              <w14:ligatures w14:val="standardContextual"/>
            </w:rPr>
          </w:pPr>
          <w:r/>
          <w:hyperlink w:tooltip="#_Toc230928864" w:anchor="_Toc230928864" w:history="1">
            <w:r>
              <w:rPr>
                <w:rStyle w:val="1321"/>
                <w:vanish w:val="0"/>
              </w:rPr>
              <w:t xml:space="preserve">5.3</w:t>
            </w:r>
            <w:r>
              <w:rPr>
                <w:rStyle w:val="1321"/>
                <w:rFonts w:ascii="Calibri" w:hAnsi="Calibri" w:eastAsia="Arial" w:asciiTheme="minorHAnsi" w:hAnsiTheme="minorHAnsi" w:eastAsiaTheme="minorEastAsia"/>
                <w:sz w:val="24"/>
                <w:szCs w:val="24"/>
                <w:lang w:eastAsia="ru-RU"/>
                <w14:ligatures w14:val="standardContextual"/>
              </w:rPr>
              <w:tab/>
            </w:r>
            <w:r>
              <w:fldChar w:fldCharType="begin"/>
            </w:r>
            <w:r>
              <w:instrText xml:space="preserve">PAGEREF _Toc230928864 \h</w:instrText>
            </w:r>
            <w:r>
              <w:fldChar w:fldCharType="separate"/>
            </w:r>
            <w:r>
              <w:rPr>
                <w:rStyle w:val="1321"/>
              </w:rPr>
              <w:t xml:space="preserve">Преддоговорные переговоры</w:t>
              <w:tab/>
              <w:t xml:space="preserve">50</w:t>
            </w:r>
            <w:r>
              <w:fldChar w:fldCharType="end"/>
            </w:r>
          </w:hyperlink>
          <w:r>
            <w:rPr>
              <w:rFonts w:ascii="Calibri" w:hAnsi="Calibri" w:eastAsia="Arial" w:asciiTheme="minorHAnsi" w:hAnsiTheme="minorHAnsi" w:eastAsiaTheme="minorEastAsia"/>
              <w:sz w:val="24"/>
              <w:szCs w:val="24"/>
              <w:lang w:eastAsia="ru-RU"/>
              <w14:ligatures w14:val="standardContextual"/>
            </w:rPr>
          </w:r>
          <w:r>
            <w:rPr>
              <w:rFonts w:ascii="Calibri" w:hAnsi="Calibri" w:eastAsia="Arial" w:asciiTheme="minorHAnsi" w:hAnsiTheme="minorHAnsi" w:eastAsiaTheme="minorEastAsia"/>
              <w:sz w:val="24"/>
              <w:szCs w:val="24"/>
              <w:lang w:eastAsia="ru-RU"/>
              <w14:ligatures w14:val="standardContextual"/>
            </w:rPr>
          </w:r>
        </w:p>
        <w:p>
          <w:pPr>
            <w:pStyle w:val="1348"/>
            <w:rPr>
              <w:rFonts w:ascii="Calibri" w:hAnsi="Calibri" w:eastAsia="Arial" w:asciiTheme="minorHAnsi" w:hAnsiTheme="minorHAnsi" w:eastAsiaTheme="minorEastAsia"/>
              <w:sz w:val="24"/>
              <w:szCs w:val="24"/>
              <w:lang w:eastAsia="ru-RU"/>
              <w14:ligatures w14:val="standardContextual"/>
            </w:rPr>
          </w:pPr>
          <w:r/>
          <w:hyperlink w:tooltip="#_Toc230928865" w:anchor="_Toc230928865" w:history="1">
            <w:r>
              <w:rPr>
                <w:rStyle w:val="1321"/>
                <w:vanish w:val="0"/>
              </w:rPr>
              <w:t xml:space="preserve">5.4</w:t>
            </w:r>
            <w:r>
              <w:rPr>
                <w:rStyle w:val="1321"/>
                <w:rFonts w:ascii="Calibri" w:hAnsi="Calibri" w:eastAsia="Arial" w:asciiTheme="minorHAnsi" w:hAnsiTheme="minorHAnsi" w:eastAsiaTheme="minorEastAsia"/>
                <w:sz w:val="24"/>
                <w:szCs w:val="24"/>
                <w:lang w:eastAsia="ru-RU"/>
                <w14:ligatures w14:val="standardContextual"/>
              </w:rPr>
              <w:tab/>
            </w:r>
            <w:r>
              <w:fldChar w:fldCharType="begin"/>
            </w:r>
            <w:r>
              <w:instrText xml:space="preserve">PAGEREF _Toc230928865 \h</w:instrText>
            </w:r>
            <w:r>
              <w:fldChar w:fldCharType="separate"/>
            </w:r>
            <w:r>
              <w:rPr>
                <w:rStyle w:val="1321"/>
              </w:rPr>
              <w:t xml:space="preserve">Уклонение Победителя от заключения Договора</w:t>
              <w:tab/>
              <w:t xml:space="preserve">51</w:t>
            </w:r>
            <w:r>
              <w:fldChar w:fldCharType="end"/>
            </w:r>
          </w:hyperlink>
          <w:r>
            <w:rPr>
              <w:rFonts w:ascii="Calibri" w:hAnsi="Calibri" w:eastAsia="Arial" w:asciiTheme="minorHAnsi" w:hAnsiTheme="minorHAnsi" w:eastAsiaTheme="minorEastAsia"/>
              <w:sz w:val="24"/>
              <w:szCs w:val="24"/>
              <w:lang w:eastAsia="ru-RU"/>
              <w14:ligatures w14:val="standardContextual"/>
            </w:rPr>
          </w:r>
          <w:r>
            <w:rPr>
              <w:rFonts w:ascii="Calibri" w:hAnsi="Calibri" w:eastAsia="Arial" w:asciiTheme="minorHAnsi" w:hAnsiTheme="minorHAnsi" w:eastAsiaTheme="minorEastAsia"/>
              <w:sz w:val="24"/>
              <w:szCs w:val="24"/>
              <w:lang w:eastAsia="ru-RU"/>
              <w14:ligatures w14:val="standardContextual"/>
            </w:rPr>
          </w:r>
        </w:p>
        <w:p>
          <w:pPr>
            <w:pStyle w:val="1349"/>
            <w:rPr>
              <w:rFonts w:ascii="Calibri" w:hAnsi="Calibri" w:eastAsia="Arial" w:asciiTheme="minorHAnsi" w:hAnsiTheme="minorHAnsi" w:eastAsiaTheme="minorEastAsia"/>
              <w:b w:val="0"/>
              <w:caps w:val="0"/>
              <w:smallCaps w:val="0"/>
              <w:sz w:val="24"/>
              <w:szCs w:val="24"/>
              <w:lang w:eastAsia="ru-RU"/>
              <w14:ligatures w14:val="standardContextual"/>
            </w:rPr>
          </w:pPr>
          <w:r/>
          <w:hyperlink w:tooltip="#_Toc230928866" w:anchor="_Toc230928866" w:history="1">
            <w:r>
              <w:rPr>
                <w:rStyle w:val="1321"/>
                <w:vanish w:val="0"/>
              </w:rPr>
              <w:t xml:space="preserve">6.</w:t>
            </w:r>
            <w:r>
              <w:rPr>
                <w:rStyle w:val="1321"/>
                <w:rFonts w:ascii="Calibri" w:hAnsi="Calibri" w:eastAsia="Arial" w:asciiTheme="minorHAnsi" w:hAnsiTheme="minorHAnsi" w:eastAsiaTheme="minorEastAsia"/>
                <w:b w:val="0"/>
                <w:caps w:val="0"/>
                <w:smallCaps w:val="0"/>
                <w:sz w:val="24"/>
                <w:szCs w:val="24"/>
                <w:lang w:eastAsia="ru-RU"/>
                <w14:ligatures w14:val="standardContextual"/>
              </w:rPr>
              <w:tab/>
            </w:r>
            <w:r>
              <w:fldChar w:fldCharType="begin"/>
            </w:r>
            <w:r>
              <w:instrText xml:space="preserve">PAGEREF _Toc230928866 \h</w:instrText>
            </w:r>
            <w:r>
              <w:fldChar w:fldCharType="separate"/>
            </w:r>
            <w:r>
              <w:rPr>
                <w:rStyle w:val="1321"/>
              </w:rPr>
              <w:t xml:space="preserve">Приложение № 1 – Технические требования</w:t>
              <w:tab/>
              <w:t xml:space="preserve">53</w:t>
            </w:r>
            <w:r>
              <w:fldChar w:fldCharType="end"/>
            </w:r>
          </w:hyperlink>
          <w:r>
            <w:rPr>
              <w:rFonts w:ascii="Calibri" w:hAnsi="Calibri" w:eastAsia="Arial" w:asciiTheme="minorHAnsi" w:hAnsiTheme="minorHAnsi" w:eastAsiaTheme="minorEastAsia"/>
              <w:b w:val="0"/>
              <w:caps w:val="0"/>
              <w:smallCaps w:val="0"/>
              <w:sz w:val="24"/>
              <w:szCs w:val="24"/>
              <w:lang w:eastAsia="ru-RU"/>
              <w14:ligatures w14:val="standardContextual"/>
            </w:rPr>
          </w:r>
          <w:r>
            <w:rPr>
              <w:rFonts w:ascii="Calibri" w:hAnsi="Calibri" w:eastAsia="Arial" w:asciiTheme="minorHAnsi" w:hAnsiTheme="minorHAnsi" w:eastAsiaTheme="minorEastAsia"/>
              <w:b w:val="0"/>
              <w:caps w:val="0"/>
              <w:smallCaps w:val="0"/>
              <w:sz w:val="24"/>
              <w:szCs w:val="24"/>
              <w:lang w:eastAsia="ru-RU"/>
              <w14:ligatures w14:val="standardContextual"/>
            </w:rPr>
          </w:r>
        </w:p>
        <w:p>
          <w:pPr>
            <w:pStyle w:val="1348"/>
            <w:rPr>
              <w:rFonts w:ascii="Calibri" w:hAnsi="Calibri" w:eastAsia="Arial" w:asciiTheme="minorHAnsi" w:hAnsiTheme="minorHAnsi" w:eastAsiaTheme="minorEastAsia"/>
              <w:sz w:val="24"/>
              <w:szCs w:val="24"/>
              <w:lang w:eastAsia="ru-RU"/>
              <w14:ligatures w14:val="standardContextual"/>
            </w:rPr>
          </w:pPr>
          <w:r/>
          <w:hyperlink w:tooltip="#_Toc230928867" w:anchor="_Toc230928867" w:history="1">
            <w:r>
              <w:rPr>
                <w:rStyle w:val="1321"/>
                <w:vanish w:val="0"/>
              </w:rPr>
              <w:t xml:space="preserve">6.1</w:t>
            </w:r>
            <w:r>
              <w:rPr>
                <w:rStyle w:val="1321"/>
                <w:rFonts w:ascii="Calibri" w:hAnsi="Calibri" w:eastAsia="Arial" w:asciiTheme="minorHAnsi" w:hAnsiTheme="minorHAnsi" w:eastAsiaTheme="minorEastAsia"/>
                <w:sz w:val="24"/>
                <w:szCs w:val="24"/>
                <w:lang w:eastAsia="ru-RU"/>
                <w14:ligatures w14:val="standardContextual"/>
              </w:rPr>
              <w:tab/>
            </w:r>
            <w:r>
              <w:fldChar w:fldCharType="begin"/>
            </w:r>
            <w:r>
              <w:instrText xml:space="preserve">PAGEREF _Toc230928867 \h</w:instrText>
            </w:r>
            <w:r>
              <w:fldChar w:fldCharType="separate"/>
            </w:r>
            <w:r>
              <w:rPr>
                <w:rStyle w:val="1321"/>
              </w:rPr>
              <w:t xml:space="preserve">Пояснения к Техническим требованиям</w:t>
              <w:tab/>
              <w:t xml:space="preserve">53</w:t>
            </w:r>
            <w:r>
              <w:fldChar w:fldCharType="end"/>
            </w:r>
          </w:hyperlink>
          <w:r>
            <w:rPr>
              <w:rFonts w:ascii="Calibri" w:hAnsi="Calibri" w:eastAsia="Arial" w:asciiTheme="minorHAnsi" w:hAnsiTheme="minorHAnsi" w:eastAsiaTheme="minorEastAsia"/>
              <w:sz w:val="24"/>
              <w:szCs w:val="24"/>
              <w:lang w:eastAsia="ru-RU"/>
              <w14:ligatures w14:val="standardContextual"/>
            </w:rPr>
          </w:r>
          <w:r>
            <w:rPr>
              <w:rFonts w:ascii="Calibri" w:hAnsi="Calibri" w:eastAsia="Arial" w:asciiTheme="minorHAnsi" w:hAnsiTheme="minorHAnsi" w:eastAsiaTheme="minorEastAsia"/>
              <w:sz w:val="24"/>
              <w:szCs w:val="24"/>
              <w:lang w:eastAsia="ru-RU"/>
              <w14:ligatures w14:val="standardContextual"/>
            </w:rPr>
          </w:r>
        </w:p>
        <w:p>
          <w:pPr>
            <w:pStyle w:val="1349"/>
            <w:rPr>
              <w:rFonts w:ascii="Calibri" w:hAnsi="Calibri" w:eastAsia="Arial" w:asciiTheme="minorHAnsi" w:hAnsiTheme="minorHAnsi" w:eastAsiaTheme="minorEastAsia"/>
              <w:b w:val="0"/>
              <w:caps w:val="0"/>
              <w:smallCaps w:val="0"/>
              <w:sz w:val="24"/>
              <w:szCs w:val="24"/>
              <w:lang w:eastAsia="ru-RU"/>
              <w14:ligatures w14:val="standardContextual"/>
            </w:rPr>
          </w:pPr>
          <w:r/>
          <w:hyperlink w:tooltip="#_Toc230928868" w:anchor="_Toc230928868" w:history="1">
            <w:r>
              <w:rPr>
                <w:rStyle w:val="1321"/>
                <w:vanish w:val="0"/>
              </w:rPr>
              <w:t xml:space="preserve">7.</w:t>
            </w:r>
            <w:r>
              <w:rPr>
                <w:rStyle w:val="1321"/>
                <w:rFonts w:ascii="Calibri" w:hAnsi="Calibri" w:eastAsia="Arial" w:asciiTheme="minorHAnsi" w:hAnsiTheme="minorHAnsi" w:eastAsiaTheme="minorEastAsia"/>
                <w:b w:val="0"/>
                <w:caps w:val="0"/>
                <w:smallCaps w:val="0"/>
                <w:sz w:val="24"/>
                <w:szCs w:val="24"/>
                <w:lang w:eastAsia="ru-RU"/>
                <w14:ligatures w14:val="standardContextual"/>
              </w:rPr>
              <w:tab/>
            </w:r>
            <w:r>
              <w:fldChar w:fldCharType="begin"/>
            </w:r>
            <w:r>
              <w:instrText xml:space="preserve">PAGEREF _Toc230928868 \h</w:instrText>
            </w:r>
            <w:r>
              <w:fldChar w:fldCharType="separate"/>
            </w:r>
            <w:r>
              <w:rPr>
                <w:rStyle w:val="1321"/>
              </w:rPr>
              <w:t xml:space="preserve">Приложение № 2 – Проект договора</w:t>
              <w:tab/>
              <w:t xml:space="preserve">54</w:t>
            </w:r>
            <w:r>
              <w:fldChar w:fldCharType="end"/>
            </w:r>
          </w:hyperlink>
          <w:r>
            <w:rPr>
              <w:rFonts w:ascii="Calibri" w:hAnsi="Calibri" w:eastAsia="Arial" w:asciiTheme="minorHAnsi" w:hAnsiTheme="minorHAnsi" w:eastAsiaTheme="minorEastAsia"/>
              <w:b w:val="0"/>
              <w:caps w:val="0"/>
              <w:smallCaps w:val="0"/>
              <w:sz w:val="24"/>
              <w:szCs w:val="24"/>
              <w:lang w:eastAsia="ru-RU"/>
              <w14:ligatures w14:val="standardContextual"/>
            </w:rPr>
          </w:r>
          <w:r>
            <w:rPr>
              <w:rFonts w:ascii="Calibri" w:hAnsi="Calibri" w:eastAsia="Arial" w:asciiTheme="minorHAnsi" w:hAnsiTheme="minorHAnsi" w:eastAsiaTheme="minorEastAsia"/>
              <w:b w:val="0"/>
              <w:caps w:val="0"/>
              <w:smallCaps w:val="0"/>
              <w:sz w:val="24"/>
              <w:szCs w:val="24"/>
              <w:lang w:eastAsia="ru-RU"/>
              <w14:ligatures w14:val="standardContextual"/>
            </w:rPr>
          </w:r>
        </w:p>
        <w:p>
          <w:pPr>
            <w:pStyle w:val="1348"/>
            <w:rPr>
              <w:rFonts w:ascii="Calibri" w:hAnsi="Calibri" w:eastAsia="Arial" w:asciiTheme="minorHAnsi" w:hAnsiTheme="minorHAnsi" w:eastAsiaTheme="minorEastAsia"/>
              <w:sz w:val="24"/>
              <w:szCs w:val="24"/>
              <w:lang w:eastAsia="ru-RU"/>
              <w14:ligatures w14:val="standardContextual"/>
            </w:rPr>
          </w:pPr>
          <w:r/>
          <w:hyperlink w:tooltip="#_Toc230928869" w:anchor="_Toc230928869" w:history="1">
            <w:r>
              <w:rPr>
                <w:rStyle w:val="1321"/>
                <w:vanish w:val="0"/>
              </w:rPr>
              <w:t xml:space="preserve">7.1</w:t>
            </w:r>
            <w:r>
              <w:rPr>
                <w:rStyle w:val="1321"/>
                <w:rFonts w:ascii="Calibri" w:hAnsi="Calibri" w:eastAsia="Arial" w:asciiTheme="minorHAnsi" w:hAnsiTheme="minorHAnsi" w:eastAsiaTheme="minorEastAsia"/>
                <w:sz w:val="24"/>
                <w:szCs w:val="24"/>
                <w:lang w:eastAsia="ru-RU"/>
                <w14:ligatures w14:val="standardContextual"/>
              </w:rPr>
              <w:tab/>
            </w:r>
            <w:r>
              <w:fldChar w:fldCharType="begin"/>
            </w:r>
            <w:r>
              <w:instrText xml:space="preserve">PAGEREF _Toc230928869 \h</w:instrText>
            </w:r>
            <w:r>
              <w:fldChar w:fldCharType="separate"/>
            </w:r>
            <w:r>
              <w:rPr>
                <w:rStyle w:val="1321"/>
              </w:rPr>
              <w:t xml:space="preserve">Пояснения к Проекту договора</w:t>
              <w:tab/>
              <w:t xml:space="preserve">54</w:t>
            </w:r>
            <w:r>
              <w:fldChar w:fldCharType="end"/>
            </w:r>
          </w:hyperlink>
          <w:r>
            <w:rPr>
              <w:rFonts w:ascii="Calibri" w:hAnsi="Calibri" w:eastAsia="Arial" w:asciiTheme="minorHAnsi" w:hAnsiTheme="minorHAnsi" w:eastAsiaTheme="minorEastAsia"/>
              <w:sz w:val="24"/>
              <w:szCs w:val="24"/>
              <w:lang w:eastAsia="ru-RU"/>
              <w14:ligatures w14:val="standardContextual"/>
            </w:rPr>
          </w:r>
          <w:r>
            <w:rPr>
              <w:rFonts w:ascii="Calibri" w:hAnsi="Calibri" w:eastAsia="Arial" w:asciiTheme="minorHAnsi" w:hAnsiTheme="minorHAnsi" w:eastAsiaTheme="minorEastAsia"/>
              <w:sz w:val="24"/>
              <w:szCs w:val="24"/>
              <w:lang w:eastAsia="ru-RU"/>
              <w14:ligatures w14:val="standardContextual"/>
            </w:rPr>
          </w:r>
        </w:p>
        <w:p>
          <w:pPr>
            <w:pStyle w:val="1349"/>
            <w:rPr>
              <w:rFonts w:ascii="Calibri" w:hAnsi="Calibri" w:eastAsia="Arial" w:asciiTheme="minorHAnsi" w:hAnsiTheme="minorHAnsi" w:eastAsiaTheme="minorEastAsia"/>
              <w:b w:val="0"/>
              <w:caps w:val="0"/>
              <w:smallCaps w:val="0"/>
              <w:sz w:val="24"/>
              <w:szCs w:val="24"/>
              <w:lang w:eastAsia="ru-RU"/>
              <w14:ligatures w14:val="standardContextual"/>
            </w:rPr>
          </w:pPr>
          <w:r/>
          <w:hyperlink w:tooltip="#_Toc230928870" w:anchor="_Toc230928870" w:history="1">
            <w:r>
              <w:rPr>
                <w:rStyle w:val="1321"/>
                <w:vanish w:val="0"/>
              </w:rPr>
              <w:t xml:space="preserve">8.</w:t>
            </w:r>
            <w:r>
              <w:rPr>
                <w:rStyle w:val="1321"/>
                <w:rFonts w:ascii="Calibri" w:hAnsi="Calibri" w:eastAsia="Arial" w:asciiTheme="minorHAnsi" w:hAnsiTheme="minorHAnsi" w:eastAsiaTheme="minorEastAsia"/>
                <w:b w:val="0"/>
                <w:caps w:val="0"/>
                <w:smallCaps w:val="0"/>
                <w:sz w:val="24"/>
                <w:szCs w:val="24"/>
                <w:lang w:eastAsia="ru-RU"/>
                <w14:ligatures w14:val="standardContextual"/>
              </w:rPr>
              <w:tab/>
            </w:r>
            <w:r>
              <w:fldChar w:fldCharType="begin"/>
            </w:r>
            <w:r>
              <w:instrText xml:space="preserve">PAGEREF _Toc230928870 \h</w:instrText>
            </w:r>
            <w:r>
              <w:fldChar w:fldCharType="separate"/>
            </w:r>
            <w:r>
              <w:rPr>
                <w:rStyle w:val="1321"/>
              </w:rPr>
              <w:t xml:space="preserve">Приложение № 3 – Требования к Участникам</w:t>
              <w:tab/>
              <w:t xml:space="preserve">55</w:t>
            </w:r>
            <w:r>
              <w:fldChar w:fldCharType="end"/>
            </w:r>
          </w:hyperlink>
          <w:r>
            <w:rPr>
              <w:rFonts w:ascii="Calibri" w:hAnsi="Calibri" w:eastAsia="Arial" w:asciiTheme="minorHAnsi" w:hAnsiTheme="minorHAnsi" w:eastAsiaTheme="minorEastAsia"/>
              <w:b w:val="0"/>
              <w:caps w:val="0"/>
              <w:smallCaps w:val="0"/>
              <w:sz w:val="24"/>
              <w:szCs w:val="24"/>
              <w:lang w:eastAsia="ru-RU"/>
              <w14:ligatures w14:val="standardContextual"/>
            </w:rPr>
          </w:r>
          <w:r>
            <w:rPr>
              <w:rFonts w:ascii="Calibri" w:hAnsi="Calibri" w:eastAsia="Arial" w:asciiTheme="minorHAnsi" w:hAnsiTheme="minorHAnsi" w:eastAsiaTheme="minorEastAsia"/>
              <w:b w:val="0"/>
              <w:caps w:val="0"/>
              <w:smallCaps w:val="0"/>
              <w:sz w:val="24"/>
              <w:szCs w:val="24"/>
              <w:lang w:eastAsia="ru-RU"/>
              <w14:ligatures w14:val="standardContextual"/>
            </w:rPr>
          </w:r>
        </w:p>
        <w:p>
          <w:pPr>
            <w:pStyle w:val="1348"/>
            <w:rPr>
              <w:rFonts w:ascii="Calibri" w:hAnsi="Calibri" w:eastAsia="Arial" w:asciiTheme="minorHAnsi" w:hAnsiTheme="minorHAnsi" w:eastAsiaTheme="minorEastAsia"/>
              <w:sz w:val="24"/>
              <w:szCs w:val="24"/>
              <w:lang w:eastAsia="ru-RU"/>
              <w14:ligatures w14:val="standardContextual"/>
            </w:rPr>
          </w:pPr>
          <w:r/>
          <w:hyperlink w:tooltip="#_Toc230928871" w:anchor="_Toc230928871" w:history="1">
            <w:r>
              <w:rPr>
                <w:rStyle w:val="1321"/>
                <w:vanish w:val="0"/>
              </w:rPr>
              <w:t xml:space="preserve">8.1</w:t>
            </w:r>
            <w:r>
              <w:rPr>
                <w:rStyle w:val="1321"/>
                <w:rFonts w:ascii="Calibri" w:hAnsi="Calibri" w:eastAsia="Arial" w:asciiTheme="minorHAnsi" w:hAnsiTheme="minorHAnsi" w:eastAsiaTheme="minorEastAsia"/>
                <w:sz w:val="24"/>
                <w:szCs w:val="24"/>
                <w:lang w:eastAsia="ru-RU"/>
                <w14:ligatures w14:val="standardContextual"/>
              </w:rPr>
              <w:tab/>
            </w:r>
            <w:r>
              <w:fldChar w:fldCharType="begin"/>
            </w:r>
            <w:r>
              <w:instrText xml:space="preserve">PAGEREF _Toc230928871 \h</w:instrText>
            </w:r>
            <w:r>
              <w:fldChar w:fldCharType="separate"/>
            </w:r>
            <w:r>
              <w:rPr>
                <w:rStyle w:val="1321"/>
              </w:rPr>
              <w:t xml:space="preserve">Пояснения к требованиям к Участникам</w:t>
              <w:tab/>
              <w:t xml:space="preserve">55</w:t>
            </w:r>
            <w:r>
              <w:fldChar w:fldCharType="end"/>
            </w:r>
          </w:hyperlink>
          <w:r>
            <w:rPr>
              <w:rFonts w:ascii="Calibri" w:hAnsi="Calibri" w:eastAsia="Arial" w:asciiTheme="minorHAnsi" w:hAnsiTheme="minorHAnsi" w:eastAsiaTheme="minorEastAsia"/>
              <w:sz w:val="24"/>
              <w:szCs w:val="24"/>
              <w:lang w:eastAsia="ru-RU"/>
              <w14:ligatures w14:val="standardContextual"/>
            </w:rPr>
          </w:r>
          <w:r>
            <w:rPr>
              <w:rFonts w:ascii="Calibri" w:hAnsi="Calibri" w:eastAsia="Arial" w:asciiTheme="minorHAnsi" w:hAnsiTheme="minorHAnsi" w:eastAsiaTheme="minorEastAsia"/>
              <w:sz w:val="24"/>
              <w:szCs w:val="24"/>
              <w:lang w:eastAsia="ru-RU"/>
              <w14:ligatures w14:val="standardContextual"/>
            </w:rPr>
          </w:r>
        </w:p>
        <w:p>
          <w:pPr>
            <w:pStyle w:val="1348"/>
            <w:rPr>
              <w:rFonts w:ascii="Calibri" w:hAnsi="Calibri" w:eastAsia="Arial" w:asciiTheme="minorHAnsi" w:hAnsiTheme="minorHAnsi" w:eastAsiaTheme="minorEastAsia"/>
              <w:sz w:val="24"/>
              <w:szCs w:val="24"/>
              <w:lang w:eastAsia="ru-RU"/>
              <w14:ligatures w14:val="standardContextual"/>
            </w:rPr>
          </w:pPr>
          <w:r/>
          <w:hyperlink w:tooltip="#_Toc230928872" w:anchor="_Toc230928872" w:history="1">
            <w:r>
              <w:rPr>
                <w:rStyle w:val="1321"/>
                <w:vanish w:val="0"/>
              </w:rPr>
              <w:t xml:space="preserve">8.2</w:t>
            </w:r>
            <w:r>
              <w:rPr>
                <w:rStyle w:val="1321"/>
                <w:rFonts w:ascii="Calibri" w:hAnsi="Calibri" w:eastAsia="Arial" w:asciiTheme="minorHAnsi" w:hAnsiTheme="minorHAnsi" w:eastAsiaTheme="minorEastAsia"/>
                <w:sz w:val="24"/>
                <w:szCs w:val="24"/>
                <w:lang w:eastAsia="ru-RU"/>
                <w14:ligatures w14:val="standardContextual"/>
              </w:rPr>
              <w:tab/>
            </w:r>
            <w:r>
              <w:fldChar w:fldCharType="begin"/>
            </w:r>
            <w:r>
              <w:instrText xml:space="preserve">PAGEREF _Toc230928872 \h</w:instrText>
            </w:r>
            <w:r>
              <w:fldChar w:fldCharType="separate"/>
            </w:r>
            <w:r>
              <w:rPr>
                <w:rStyle w:val="1321"/>
              </w:rPr>
              <w:t xml:space="preserve">Обязательные требования</w:t>
              <w:tab/>
              <w:t xml:space="preserve">55</w:t>
            </w:r>
            <w:r>
              <w:fldChar w:fldCharType="end"/>
            </w:r>
          </w:hyperlink>
          <w:r>
            <w:rPr>
              <w:rFonts w:ascii="Calibri" w:hAnsi="Calibri" w:eastAsia="Arial" w:asciiTheme="minorHAnsi" w:hAnsiTheme="minorHAnsi" w:eastAsiaTheme="minorEastAsia"/>
              <w:sz w:val="24"/>
              <w:szCs w:val="24"/>
              <w:lang w:eastAsia="ru-RU"/>
              <w14:ligatures w14:val="standardContextual"/>
            </w:rPr>
          </w:r>
          <w:r>
            <w:rPr>
              <w:rFonts w:ascii="Calibri" w:hAnsi="Calibri" w:eastAsia="Arial" w:asciiTheme="minorHAnsi" w:hAnsiTheme="minorHAnsi" w:eastAsiaTheme="minorEastAsia"/>
              <w:sz w:val="24"/>
              <w:szCs w:val="24"/>
              <w:lang w:eastAsia="ru-RU"/>
              <w14:ligatures w14:val="standardContextual"/>
            </w:rPr>
          </w:r>
        </w:p>
        <w:p>
          <w:pPr>
            <w:pStyle w:val="1348"/>
            <w:rPr>
              <w:rFonts w:ascii="Calibri" w:hAnsi="Calibri" w:eastAsia="Arial" w:asciiTheme="minorHAnsi" w:hAnsiTheme="minorHAnsi" w:eastAsiaTheme="minorEastAsia"/>
              <w:sz w:val="24"/>
              <w:szCs w:val="24"/>
              <w:lang w:eastAsia="ru-RU"/>
              <w14:ligatures w14:val="standardContextual"/>
            </w:rPr>
          </w:pPr>
          <w:r/>
          <w:hyperlink w:tooltip="#_Toc230928873" w:anchor="_Toc230928873" w:history="1">
            <w:r>
              <w:rPr>
                <w:rStyle w:val="1321"/>
                <w:vanish w:val="0"/>
              </w:rPr>
              <w:t xml:space="preserve">8.3</w:t>
            </w:r>
            <w:r>
              <w:rPr>
                <w:rStyle w:val="1321"/>
                <w:rFonts w:ascii="Calibri" w:hAnsi="Calibri" w:eastAsia="Arial" w:asciiTheme="minorHAnsi" w:hAnsiTheme="minorHAnsi" w:eastAsiaTheme="minorEastAsia"/>
                <w:sz w:val="24"/>
                <w:szCs w:val="24"/>
                <w:lang w:eastAsia="ru-RU"/>
                <w14:ligatures w14:val="standardContextual"/>
              </w:rPr>
              <w:tab/>
            </w:r>
            <w:r>
              <w:fldChar w:fldCharType="begin"/>
            </w:r>
            <w:r>
              <w:instrText xml:space="preserve">PAGEREF _Toc230928873 \h</w:instrText>
            </w:r>
            <w:r>
              <w:fldChar w:fldCharType="separate"/>
            </w:r>
            <w:r>
              <w:rPr>
                <w:rStyle w:val="1321"/>
              </w:rPr>
              <w:t xml:space="preserve">Специальные требования</w:t>
              <w:tab/>
              <w:t xml:space="preserve">55</w:t>
            </w:r>
            <w:r>
              <w:fldChar w:fldCharType="end"/>
            </w:r>
          </w:hyperlink>
          <w:r>
            <w:rPr>
              <w:rFonts w:ascii="Calibri" w:hAnsi="Calibri" w:eastAsia="Arial" w:asciiTheme="minorHAnsi" w:hAnsiTheme="minorHAnsi" w:eastAsiaTheme="minorEastAsia"/>
              <w:sz w:val="24"/>
              <w:szCs w:val="24"/>
              <w:lang w:eastAsia="ru-RU"/>
              <w14:ligatures w14:val="standardContextual"/>
            </w:rPr>
          </w:r>
          <w:r>
            <w:rPr>
              <w:rFonts w:ascii="Calibri" w:hAnsi="Calibri" w:eastAsia="Arial" w:asciiTheme="minorHAnsi" w:hAnsiTheme="minorHAnsi" w:eastAsiaTheme="minorEastAsia"/>
              <w:sz w:val="24"/>
              <w:szCs w:val="24"/>
              <w:lang w:eastAsia="ru-RU"/>
              <w14:ligatures w14:val="standardContextual"/>
            </w:rPr>
          </w:r>
        </w:p>
        <w:p>
          <w:pPr>
            <w:pStyle w:val="1348"/>
            <w:rPr>
              <w:rFonts w:ascii="Calibri" w:hAnsi="Calibri" w:eastAsia="Arial" w:asciiTheme="minorHAnsi" w:hAnsiTheme="minorHAnsi" w:eastAsiaTheme="minorEastAsia"/>
              <w:sz w:val="24"/>
              <w:szCs w:val="24"/>
              <w:lang w:eastAsia="ru-RU"/>
              <w14:ligatures w14:val="standardContextual"/>
            </w:rPr>
          </w:pPr>
          <w:r/>
          <w:hyperlink w:tooltip="#_Toc230928874" w:anchor="_Toc230928874" w:history="1">
            <w:r>
              <w:rPr>
                <w:rStyle w:val="1321"/>
                <w:vanish w:val="0"/>
              </w:rPr>
              <w:t xml:space="preserve">8.4</w:t>
            </w:r>
            <w:r>
              <w:rPr>
                <w:rStyle w:val="1321"/>
                <w:rFonts w:ascii="Calibri" w:hAnsi="Calibri" w:eastAsia="Arial" w:asciiTheme="minorHAnsi" w:hAnsiTheme="minorHAnsi" w:eastAsiaTheme="minorEastAsia"/>
                <w:sz w:val="24"/>
                <w:szCs w:val="24"/>
                <w:lang w:eastAsia="ru-RU"/>
                <w14:ligatures w14:val="standardContextual"/>
              </w:rPr>
              <w:tab/>
            </w:r>
            <w:r>
              <w:fldChar w:fldCharType="begin"/>
            </w:r>
            <w:r>
              <w:instrText xml:space="preserve">PAGEREF _Toc230928874 \h</w:instrText>
            </w:r>
            <w:r>
              <w:fldChar w:fldCharType="separate"/>
            </w:r>
            <w:r>
              <w:rPr>
                <w:rStyle w:val="1321"/>
              </w:rPr>
              <w:t xml:space="preserve">Квалификационные требования</w:t>
              <w:tab/>
              <w:t xml:space="preserve">58</w:t>
            </w:r>
            <w:r>
              <w:fldChar w:fldCharType="end"/>
            </w:r>
          </w:hyperlink>
          <w:r>
            <w:rPr>
              <w:rFonts w:ascii="Calibri" w:hAnsi="Calibri" w:eastAsia="Arial" w:asciiTheme="minorHAnsi" w:hAnsiTheme="minorHAnsi" w:eastAsiaTheme="minorEastAsia"/>
              <w:sz w:val="24"/>
              <w:szCs w:val="24"/>
              <w:lang w:eastAsia="ru-RU"/>
              <w14:ligatures w14:val="standardContextual"/>
            </w:rPr>
          </w:r>
          <w:r>
            <w:rPr>
              <w:rFonts w:ascii="Calibri" w:hAnsi="Calibri" w:eastAsia="Arial" w:asciiTheme="minorHAnsi" w:hAnsiTheme="minorHAnsi" w:eastAsiaTheme="minorEastAsia"/>
              <w:sz w:val="24"/>
              <w:szCs w:val="24"/>
              <w:lang w:eastAsia="ru-RU"/>
              <w14:ligatures w14:val="standardContextual"/>
            </w:rPr>
          </w:r>
        </w:p>
        <w:p>
          <w:pPr>
            <w:pStyle w:val="1348"/>
            <w:rPr>
              <w:rFonts w:ascii="Calibri" w:hAnsi="Calibri" w:eastAsia="Arial" w:asciiTheme="minorHAnsi" w:hAnsiTheme="minorHAnsi" w:eastAsiaTheme="minorEastAsia"/>
              <w:sz w:val="24"/>
              <w:szCs w:val="24"/>
              <w:lang w:eastAsia="ru-RU"/>
              <w14:ligatures w14:val="standardContextual"/>
            </w:rPr>
          </w:pPr>
          <w:r/>
          <w:hyperlink w:tooltip="#_Toc230928875" w:anchor="_Toc230928875" w:history="1">
            <w:r>
              <w:rPr>
                <w:rStyle w:val="1321"/>
                <w:vanish w:val="0"/>
              </w:rPr>
              <w:t xml:space="preserve">8.5</w:t>
            </w:r>
            <w:r>
              <w:rPr>
                <w:rStyle w:val="1321"/>
                <w:rFonts w:ascii="Calibri" w:hAnsi="Calibri" w:eastAsia="Arial" w:asciiTheme="minorHAnsi" w:hAnsiTheme="minorHAnsi" w:eastAsiaTheme="minorEastAsia"/>
                <w:sz w:val="24"/>
                <w:szCs w:val="24"/>
                <w:lang w:eastAsia="ru-RU"/>
                <w14:ligatures w14:val="standardContextual"/>
              </w:rPr>
              <w:tab/>
            </w:r>
            <w:r>
              <w:fldChar w:fldCharType="begin"/>
            </w:r>
            <w:r>
              <w:instrText xml:space="preserve">PAGEREF _Toc230928875 \h</w:instrText>
            </w:r>
            <w:r>
              <w:fldChar w:fldCharType="separate"/>
            </w:r>
            <w:r>
              <w:rPr>
                <w:rStyle w:val="1321"/>
              </w:rPr>
              <w:t xml:space="preserve">Дополнительные требования к Коллективным участникам</w:t>
              <w:tab/>
              <w:t xml:space="preserve">58</w:t>
            </w:r>
            <w:r>
              <w:fldChar w:fldCharType="end"/>
            </w:r>
          </w:hyperlink>
          <w:r>
            <w:rPr>
              <w:rFonts w:ascii="Calibri" w:hAnsi="Calibri" w:eastAsia="Arial" w:asciiTheme="minorHAnsi" w:hAnsiTheme="minorHAnsi" w:eastAsiaTheme="minorEastAsia"/>
              <w:sz w:val="24"/>
              <w:szCs w:val="24"/>
              <w:lang w:eastAsia="ru-RU"/>
              <w14:ligatures w14:val="standardContextual"/>
            </w:rPr>
          </w:r>
          <w:r>
            <w:rPr>
              <w:rFonts w:ascii="Calibri" w:hAnsi="Calibri" w:eastAsia="Arial" w:asciiTheme="minorHAnsi" w:hAnsiTheme="minorHAnsi" w:eastAsiaTheme="minorEastAsia"/>
              <w:sz w:val="24"/>
              <w:szCs w:val="24"/>
              <w:lang w:eastAsia="ru-RU"/>
              <w14:ligatures w14:val="standardContextual"/>
            </w:rPr>
          </w:r>
        </w:p>
        <w:p>
          <w:pPr>
            <w:pStyle w:val="1348"/>
            <w:rPr>
              <w:rFonts w:ascii="Calibri" w:hAnsi="Calibri" w:eastAsia="Arial" w:asciiTheme="minorHAnsi" w:hAnsiTheme="minorHAnsi" w:eastAsiaTheme="minorEastAsia"/>
              <w:sz w:val="24"/>
              <w:szCs w:val="24"/>
              <w:lang w:eastAsia="ru-RU"/>
              <w14:ligatures w14:val="standardContextual"/>
            </w:rPr>
          </w:pPr>
          <w:r/>
          <w:hyperlink w:tooltip="#_Toc230928876" w:anchor="_Toc230928876" w:history="1">
            <w:r>
              <w:rPr>
                <w:rStyle w:val="1321"/>
                <w:vanish w:val="0"/>
              </w:rPr>
              <w:t xml:space="preserve">8.6</w:t>
            </w:r>
            <w:r>
              <w:rPr>
                <w:rStyle w:val="1321"/>
                <w:rFonts w:ascii="Calibri" w:hAnsi="Calibri" w:eastAsia="Arial" w:asciiTheme="minorHAnsi" w:hAnsiTheme="minorHAnsi" w:eastAsiaTheme="minorEastAsia"/>
                <w:sz w:val="24"/>
                <w:szCs w:val="24"/>
                <w:lang w:eastAsia="ru-RU"/>
                <w14:ligatures w14:val="standardContextual"/>
              </w:rPr>
              <w:tab/>
            </w:r>
            <w:r>
              <w:fldChar w:fldCharType="begin"/>
            </w:r>
            <w:r>
              <w:instrText xml:space="preserve">PAGEREF _Toc230928876 \h</w:instrText>
            </w:r>
            <w:r>
              <w:fldChar w:fldCharType="separate"/>
            </w:r>
            <w:r>
              <w:rPr>
                <w:rStyle w:val="1321"/>
              </w:rPr>
              <w:t xml:space="preserve">Дополнительные требования к Генеральным подрядчикам</w:t>
              <w:tab/>
              <w:t xml:space="preserve">59</w:t>
            </w:r>
            <w:r>
              <w:fldChar w:fldCharType="end"/>
            </w:r>
          </w:hyperlink>
          <w:r>
            <w:rPr>
              <w:rFonts w:ascii="Calibri" w:hAnsi="Calibri" w:eastAsia="Arial" w:asciiTheme="minorHAnsi" w:hAnsiTheme="minorHAnsi" w:eastAsiaTheme="minorEastAsia"/>
              <w:sz w:val="24"/>
              <w:szCs w:val="24"/>
              <w:lang w:eastAsia="ru-RU"/>
              <w14:ligatures w14:val="standardContextual"/>
            </w:rPr>
          </w:r>
          <w:r>
            <w:rPr>
              <w:rFonts w:ascii="Calibri" w:hAnsi="Calibri" w:eastAsia="Arial" w:asciiTheme="minorHAnsi" w:hAnsiTheme="minorHAnsi" w:eastAsiaTheme="minorEastAsia"/>
              <w:sz w:val="24"/>
              <w:szCs w:val="24"/>
              <w:lang w:eastAsia="ru-RU"/>
              <w14:ligatures w14:val="standardContextual"/>
            </w:rPr>
          </w:r>
        </w:p>
        <w:p>
          <w:pPr>
            <w:pStyle w:val="1348"/>
            <w:rPr>
              <w:rFonts w:ascii="Calibri" w:hAnsi="Calibri" w:eastAsia="Arial" w:asciiTheme="minorHAnsi" w:hAnsiTheme="minorHAnsi" w:eastAsiaTheme="minorEastAsia"/>
              <w:sz w:val="24"/>
              <w:szCs w:val="24"/>
              <w:lang w:eastAsia="ru-RU"/>
              <w14:ligatures w14:val="standardContextual"/>
            </w:rPr>
          </w:pPr>
          <w:r/>
          <w:hyperlink w:tooltip="#_Toc230928877" w:anchor="_Toc230928877" w:history="1">
            <w:r>
              <w:rPr>
                <w:rStyle w:val="1321"/>
                <w:vanish w:val="0"/>
              </w:rPr>
              <w:t xml:space="preserve">8.7</w:t>
            </w:r>
            <w:r>
              <w:rPr>
                <w:rStyle w:val="1321"/>
                <w:rFonts w:ascii="Calibri" w:hAnsi="Calibri" w:eastAsia="Arial" w:asciiTheme="minorHAnsi" w:hAnsiTheme="minorHAnsi" w:eastAsiaTheme="minorEastAsia"/>
                <w:sz w:val="24"/>
                <w:szCs w:val="24"/>
                <w:lang w:eastAsia="ru-RU"/>
                <w14:ligatures w14:val="standardContextual"/>
              </w:rPr>
              <w:tab/>
            </w:r>
            <w:r>
              <w:fldChar w:fldCharType="begin"/>
            </w:r>
            <w:r>
              <w:instrText xml:space="preserve">PAGEREF _Toc230928877 \h</w:instrText>
            </w:r>
            <w:r>
              <w:fldChar w:fldCharType="separate"/>
            </w:r>
            <w:r>
              <w:rPr>
                <w:rStyle w:val="1321"/>
              </w:rPr>
              <w:t xml:space="preserve">Дополнительные требования в отношении Генеральных подрядчиков с обязательным привлечением субподрядчиков (соисполнителей) из числа субъектов МСП</w:t>
              <w:tab/>
              <w:t xml:space="preserve">60</w:t>
            </w:r>
            <w:r>
              <w:fldChar w:fldCharType="end"/>
            </w:r>
          </w:hyperlink>
          <w:r>
            <w:rPr>
              <w:rFonts w:ascii="Calibri" w:hAnsi="Calibri" w:eastAsia="Arial" w:asciiTheme="minorHAnsi" w:hAnsiTheme="minorHAnsi" w:eastAsiaTheme="minorEastAsia"/>
              <w:sz w:val="24"/>
              <w:szCs w:val="24"/>
              <w:lang w:eastAsia="ru-RU"/>
              <w14:ligatures w14:val="standardContextual"/>
            </w:rPr>
          </w:r>
          <w:r>
            <w:rPr>
              <w:rFonts w:ascii="Calibri" w:hAnsi="Calibri" w:eastAsia="Arial" w:asciiTheme="minorHAnsi" w:hAnsiTheme="minorHAnsi" w:eastAsiaTheme="minorEastAsia"/>
              <w:sz w:val="24"/>
              <w:szCs w:val="24"/>
              <w:lang w:eastAsia="ru-RU"/>
              <w14:ligatures w14:val="standardContextual"/>
            </w:rPr>
          </w:r>
        </w:p>
        <w:p>
          <w:pPr>
            <w:pStyle w:val="1349"/>
            <w:rPr>
              <w:rFonts w:ascii="Calibri" w:hAnsi="Calibri" w:eastAsia="Arial" w:asciiTheme="minorHAnsi" w:hAnsiTheme="minorHAnsi" w:eastAsiaTheme="minorEastAsia"/>
              <w:b w:val="0"/>
              <w:caps w:val="0"/>
              <w:smallCaps w:val="0"/>
              <w:sz w:val="24"/>
              <w:szCs w:val="24"/>
              <w:lang w:eastAsia="ru-RU"/>
              <w14:ligatures w14:val="standardContextual"/>
            </w:rPr>
          </w:pPr>
          <w:r/>
          <w:hyperlink w:tooltip="#_Toc230928878" w:anchor="_Toc230928878" w:history="1">
            <w:r>
              <w:rPr>
                <w:rStyle w:val="1321"/>
                <w:vanish w:val="0"/>
              </w:rPr>
              <w:t xml:space="preserve">9.</w:t>
            </w:r>
            <w:r>
              <w:rPr>
                <w:rStyle w:val="1321"/>
                <w:rFonts w:ascii="Calibri" w:hAnsi="Calibri" w:eastAsia="Arial" w:asciiTheme="minorHAnsi" w:hAnsiTheme="minorHAnsi" w:eastAsiaTheme="minorEastAsia"/>
                <w:b w:val="0"/>
                <w:caps w:val="0"/>
                <w:smallCaps w:val="0"/>
                <w:sz w:val="24"/>
                <w:szCs w:val="24"/>
                <w:lang w:eastAsia="ru-RU"/>
                <w14:ligatures w14:val="standardContextual"/>
              </w:rPr>
              <w:tab/>
            </w:r>
            <w:r>
              <w:fldChar w:fldCharType="begin"/>
            </w:r>
            <w:r>
              <w:instrText xml:space="preserve">PAGEREF _Toc230928878 \h</w:instrText>
            </w:r>
            <w:r>
              <w:fldChar w:fldCharType="separate"/>
            </w:r>
            <w:r>
              <w:rPr>
                <w:rStyle w:val="1321"/>
              </w:rPr>
              <w:t xml:space="preserve">Приложение № 4 – Образцы форм документов, включаемых в состав заявки</w:t>
              <w:tab/>
              <w:t xml:space="preserve">61</w:t>
            </w:r>
            <w:r>
              <w:fldChar w:fldCharType="end"/>
            </w:r>
          </w:hyperlink>
          <w:r>
            <w:rPr>
              <w:rFonts w:ascii="Calibri" w:hAnsi="Calibri" w:eastAsia="Arial" w:asciiTheme="minorHAnsi" w:hAnsiTheme="minorHAnsi" w:eastAsiaTheme="minorEastAsia"/>
              <w:b w:val="0"/>
              <w:caps w:val="0"/>
              <w:smallCaps w:val="0"/>
              <w:sz w:val="24"/>
              <w:szCs w:val="24"/>
              <w:lang w:eastAsia="ru-RU"/>
              <w14:ligatures w14:val="standardContextual"/>
            </w:rPr>
          </w:r>
          <w:r>
            <w:rPr>
              <w:rFonts w:ascii="Calibri" w:hAnsi="Calibri" w:eastAsia="Arial" w:asciiTheme="minorHAnsi" w:hAnsiTheme="minorHAnsi" w:eastAsiaTheme="minorEastAsia"/>
              <w:b w:val="0"/>
              <w:caps w:val="0"/>
              <w:smallCaps w:val="0"/>
              <w:sz w:val="24"/>
              <w:szCs w:val="24"/>
              <w:lang w:eastAsia="ru-RU"/>
              <w14:ligatures w14:val="standardContextual"/>
            </w:rPr>
          </w:r>
        </w:p>
        <w:p>
          <w:pPr>
            <w:pStyle w:val="1348"/>
            <w:rPr>
              <w:rFonts w:ascii="Calibri" w:hAnsi="Calibri" w:eastAsia="Arial" w:asciiTheme="minorHAnsi" w:hAnsiTheme="minorHAnsi" w:eastAsiaTheme="minorEastAsia"/>
              <w:sz w:val="24"/>
              <w:szCs w:val="24"/>
              <w:lang w:eastAsia="ru-RU"/>
              <w14:ligatures w14:val="standardContextual"/>
            </w:rPr>
          </w:pPr>
          <w:r/>
          <w:hyperlink w:tooltip="#_Toc230928879" w:anchor="_Toc230928879" w:history="1">
            <w:r>
              <w:rPr>
                <w:rStyle w:val="1321"/>
                <w:vanish w:val="0"/>
              </w:rPr>
              <w:t xml:space="preserve">9.1</w:t>
            </w:r>
            <w:r>
              <w:rPr>
                <w:rStyle w:val="1321"/>
                <w:rFonts w:ascii="Calibri" w:hAnsi="Calibri" w:eastAsia="Arial" w:asciiTheme="minorHAnsi" w:hAnsiTheme="minorHAnsi" w:eastAsiaTheme="minorEastAsia"/>
                <w:sz w:val="24"/>
                <w:szCs w:val="24"/>
                <w:lang w:eastAsia="ru-RU"/>
                <w14:ligatures w14:val="standardContextual"/>
              </w:rPr>
              <w:tab/>
            </w:r>
            <w:r>
              <w:fldChar w:fldCharType="begin"/>
            </w:r>
            <w:r>
              <w:instrText xml:space="preserve">PAGEREF _Toc230928879 \h</w:instrText>
            </w:r>
            <w:r>
              <w:fldChar w:fldCharType="separate"/>
            </w:r>
            <w:r>
              <w:rPr>
                <w:rStyle w:val="1321"/>
              </w:rPr>
              <w:t xml:space="preserve">Пояснения к Образцам форм документов, включаемых в состав заявки</w:t>
              <w:tab/>
              <w:t xml:space="preserve">61</w:t>
            </w:r>
            <w:r>
              <w:fldChar w:fldCharType="end"/>
            </w:r>
          </w:hyperlink>
          <w:r>
            <w:rPr>
              <w:rFonts w:ascii="Calibri" w:hAnsi="Calibri" w:eastAsia="Arial" w:asciiTheme="minorHAnsi" w:hAnsiTheme="minorHAnsi" w:eastAsiaTheme="minorEastAsia"/>
              <w:sz w:val="24"/>
              <w:szCs w:val="24"/>
              <w:lang w:eastAsia="ru-RU"/>
              <w14:ligatures w14:val="standardContextual"/>
            </w:rPr>
          </w:r>
          <w:r>
            <w:rPr>
              <w:rFonts w:ascii="Calibri" w:hAnsi="Calibri" w:eastAsia="Arial" w:asciiTheme="minorHAnsi" w:hAnsiTheme="minorHAnsi" w:eastAsiaTheme="minorEastAsia"/>
              <w:sz w:val="24"/>
              <w:szCs w:val="24"/>
              <w:lang w:eastAsia="ru-RU"/>
              <w14:ligatures w14:val="standardContextual"/>
            </w:rPr>
          </w:r>
        </w:p>
        <w:p>
          <w:pPr>
            <w:pStyle w:val="1349"/>
            <w:rPr>
              <w:rFonts w:ascii="Calibri" w:hAnsi="Calibri" w:eastAsia="Arial" w:asciiTheme="minorHAnsi" w:hAnsiTheme="minorHAnsi" w:eastAsiaTheme="minorEastAsia"/>
              <w:b w:val="0"/>
              <w:caps w:val="0"/>
              <w:smallCaps w:val="0"/>
              <w:sz w:val="24"/>
              <w:szCs w:val="24"/>
              <w:lang w:eastAsia="ru-RU"/>
              <w14:ligatures w14:val="standardContextual"/>
            </w:rPr>
          </w:pPr>
          <w:r/>
          <w:hyperlink w:tooltip="#_Toc230928880" w:anchor="_Toc230928880" w:history="1">
            <w:r>
              <w:rPr>
                <w:rStyle w:val="1321"/>
                <w:vanish w:val="0"/>
              </w:rPr>
              <w:t xml:space="preserve">10.</w:t>
            </w:r>
            <w:r>
              <w:rPr>
                <w:rStyle w:val="1321"/>
                <w:rFonts w:ascii="Calibri" w:hAnsi="Calibri" w:eastAsia="Arial" w:asciiTheme="minorHAnsi" w:hAnsiTheme="minorHAnsi" w:eastAsiaTheme="minorEastAsia"/>
                <w:b w:val="0"/>
                <w:caps w:val="0"/>
                <w:smallCaps w:val="0"/>
                <w:sz w:val="24"/>
                <w:szCs w:val="24"/>
                <w:lang w:eastAsia="ru-RU"/>
                <w14:ligatures w14:val="standardContextual"/>
              </w:rPr>
              <w:tab/>
            </w:r>
            <w:r>
              <w:fldChar w:fldCharType="begin"/>
            </w:r>
            <w:r>
              <w:instrText xml:space="preserve">PAGEREF _Toc230928880 \h</w:instrText>
            </w:r>
            <w:r>
              <w:fldChar w:fldCharType="separate"/>
            </w:r>
            <w:r>
              <w:rPr>
                <w:rStyle w:val="1321"/>
              </w:rPr>
              <w:t xml:space="preserve">Приложение № 5 – Образцы форм документов, предоставляемых Победителем</w:t>
              <w:tab/>
              <w:t xml:space="preserve">62</w:t>
            </w:r>
            <w:r>
              <w:fldChar w:fldCharType="end"/>
            </w:r>
          </w:hyperlink>
          <w:r>
            <w:rPr>
              <w:rFonts w:ascii="Calibri" w:hAnsi="Calibri" w:eastAsia="Arial" w:asciiTheme="minorHAnsi" w:hAnsiTheme="minorHAnsi" w:eastAsiaTheme="minorEastAsia"/>
              <w:b w:val="0"/>
              <w:caps w:val="0"/>
              <w:smallCaps w:val="0"/>
              <w:sz w:val="24"/>
              <w:szCs w:val="24"/>
              <w:lang w:eastAsia="ru-RU"/>
              <w14:ligatures w14:val="standardContextual"/>
            </w:rPr>
          </w:r>
          <w:r>
            <w:rPr>
              <w:rFonts w:ascii="Calibri" w:hAnsi="Calibri" w:eastAsia="Arial" w:asciiTheme="minorHAnsi" w:hAnsiTheme="minorHAnsi" w:eastAsiaTheme="minorEastAsia"/>
              <w:b w:val="0"/>
              <w:caps w:val="0"/>
              <w:smallCaps w:val="0"/>
              <w:sz w:val="24"/>
              <w:szCs w:val="24"/>
              <w:lang w:eastAsia="ru-RU"/>
              <w14:ligatures w14:val="standardContextual"/>
            </w:rPr>
          </w:r>
        </w:p>
        <w:p>
          <w:pPr>
            <w:pStyle w:val="1348"/>
            <w:rPr>
              <w:rFonts w:ascii="Calibri" w:hAnsi="Calibri" w:eastAsia="Arial" w:asciiTheme="minorHAnsi" w:hAnsiTheme="minorHAnsi" w:eastAsiaTheme="minorEastAsia"/>
              <w:sz w:val="24"/>
              <w:szCs w:val="24"/>
              <w:lang w:eastAsia="ru-RU"/>
              <w14:ligatures w14:val="standardContextual"/>
            </w:rPr>
          </w:pPr>
          <w:r/>
          <w:hyperlink w:tooltip="#_Toc230928881" w:anchor="_Toc230928881" w:history="1">
            <w:r>
              <w:rPr>
                <w:rStyle w:val="1321"/>
                <w:vanish w:val="0"/>
              </w:rPr>
              <w:t xml:space="preserve">10.1</w:t>
            </w:r>
            <w:r>
              <w:rPr>
                <w:rStyle w:val="1321"/>
                <w:rFonts w:ascii="Calibri" w:hAnsi="Calibri" w:eastAsia="Arial" w:asciiTheme="minorHAnsi" w:hAnsiTheme="minorHAnsi" w:eastAsiaTheme="minorEastAsia"/>
                <w:sz w:val="24"/>
                <w:szCs w:val="24"/>
                <w:lang w:eastAsia="ru-RU"/>
                <w14:ligatures w14:val="standardContextual"/>
              </w:rPr>
              <w:tab/>
            </w:r>
            <w:r>
              <w:fldChar w:fldCharType="begin"/>
            </w:r>
            <w:r>
              <w:instrText xml:space="preserve">PAGEREF _Toc230928881 \h</w:instrText>
            </w:r>
            <w:r>
              <w:fldChar w:fldCharType="separate"/>
            </w:r>
            <w:r>
              <w:rPr>
                <w:rStyle w:val="1321"/>
              </w:rPr>
              <w:t xml:space="preserve">Пояснения к Образцам форм документов, предоставляемых Победителем</w:t>
              <w:tab/>
              <w:t xml:space="preserve">62</w:t>
            </w:r>
            <w:r>
              <w:fldChar w:fldCharType="end"/>
            </w:r>
          </w:hyperlink>
          <w:r>
            <w:rPr>
              <w:rFonts w:ascii="Calibri" w:hAnsi="Calibri" w:eastAsia="Arial" w:asciiTheme="minorHAnsi" w:hAnsiTheme="minorHAnsi" w:eastAsiaTheme="minorEastAsia"/>
              <w:sz w:val="24"/>
              <w:szCs w:val="24"/>
              <w:lang w:eastAsia="ru-RU"/>
              <w14:ligatures w14:val="standardContextual"/>
            </w:rPr>
          </w:r>
          <w:r>
            <w:rPr>
              <w:rFonts w:ascii="Calibri" w:hAnsi="Calibri" w:eastAsia="Arial" w:asciiTheme="minorHAnsi" w:hAnsiTheme="minorHAnsi" w:eastAsiaTheme="minorEastAsia"/>
              <w:sz w:val="24"/>
              <w:szCs w:val="24"/>
              <w:lang w:eastAsia="ru-RU"/>
              <w14:ligatures w14:val="standardContextual"/>
            </w:rPr>
          </w:r>
        </w:p>
        <w:p>
          <w:pPr>
            <w:pStyle w:val="1348"/>
            <w:rPr>
              <w:rFonts w:ascii="Calibri" w:hAnsi="Calibri" w:eastAsia="Arial" w:asciiTheme="minorHAnsi" w:hAnsiTheme="minorHAnsi" w:eastAsiaTheme="minorEastAsia"/>
              <w:sz w:val="24"/>
              <w:szCs w:val="24"/>
              <w:lang w:eastAsia="ru-RU"/>
              <w14:ligatures w14:val="standardContextual"/>
            </w:rPr>
          </w:pPr>
          <w:r/>
          <w:hyperlink w:tooltip="#_Toc230928882" w:anchor="_Toc230928882" w:history="1">
            <w:r>
              <w:rPr>
                <w:rStyle w:val="1321"/>
                <w:vanish w:val="0"/>
              </w:rPr>
              <w:t xml:space="preserve">10.2</w:t>
            </w:r>
            <w:r>
              <w:rPr>
                <w:rStyle w:val="1321"/>
                <w:rFonts w:ascii="Calibri" w:hAnsi="Calibri" w:eastAsia="Arial" w:asciiTheme="minorHAnsi" w:hAnsiTheme="minorHAnsi" w:eastAsiaTheme="minorEastAsia"/>
                <w:sz w:val="24"/>
                <w:szCs w:val="24"/>
                <w:lang w:eastAsia="ru-RU"/>
                <w14:ligatures w14:val="standardContextual"/>
              </w:rPr>
              <w:tab/>
            </w:r>
            <w:r>
              <w:fldChar w:fldCharType="begin"/>
            </w:r>
            <w:r>
              <w:instrText xml:space="preserve">PAGEREF _Toc230928882 \h</w:instrText>
            </w:r>
            <w:r>
              <w:fldChar w:fldCharType="separate"/>
            </w:r>
            <w:r>
              <w:rPr>
                <w:rStyle w:val="1321"/>
              </w:rPr>
              <w:t xml:space="preserve">Форма справки «Сведения о цепочке собственников, включая бенефициаров (в том числе конечных)»</w:t>
              <w:tab/>
              <w:t xml:space="preserve">62</w:t>
            </w:r>
            <w:r>
              <w:fldChar w:fldCharType="end"/>
            </w:r>
          </w:hyperlink>
          <w:r>
            <w:rPr>
              <w:rFonts w:ascii="Calibri" w:hAnsi="Calibri" w:eastAsia="Arial" w:asciiTheme="minorHAnsi" w:hAnsiTheme="minorHAnsi" w:eastAsiaTheme="minorEastAsia"/>
              <w:sz w:val="24"/>
              <w:szCs w:val="24"/>
              <w:lang w:eastAsia="ru-RU"/>
              <w14:ligatures w14:val="standardContextual"/>
            </w:rPr>
          </w:r>
          <w:r>
            <w:rPr>
              <w:rFonts w:ascii="Calibri" w:hAnsi="Calibri" w:eastAsia="Arial" w:asciiTheme="minorHAnsi" w:hAnsiTheme="minorHAnsi" w:eastAsiaTheme="minorEastAsia"/>
              <w:sz w:val="24"/>
              <w:szCs w:val="24"/>
              <w:lang w:eastAsia="ru-RU"/>
              <w14:ligatures w14:val="standardContextual"/>
            </w:rPr>
          </w:r>
        </w:p>
        <w:p>
          <w:pPr>
            <w:pStyle w:val="1348"/>
            <w:rPr>
              <w:rFonts w:ascii="Calibri" w:hAnsi="Calibri" w:eastAsia="Arial" w:asciiTheme="minorHAnsi" w:hAnsiTheme="minorHAnsi" w:eastAsiaTheme="minorEastAsia"/>
              <w:sz w:val="24"/>
              <w:szCs w:val="24"/>
              <w:lang w:eastAsia="ru-RU"/>
              <w14:ligatures w14:val="standardContextual"/>
            </w:rPr>
          </w:pPr>
          <w:r/>
          <w:hyperlink w:tooltip="#_Toc230928883" w:anchor="_Toc230928883" w:history="1">
            <w:r>
              <w:rPr>
                <w:rStyle w:val="1321"/>
                <w:vanish w:val="0"/>
              </w:rPr>
              <w:t xml:space="preserve">10.3</w:t>
            </w:r>
            <w:r>
              <w:rPr>
                <w:rStyle w:val="1321"/>
                <w:rFonts w:ascii="Calibri" w:hAnsi="Calibri" w:eastAsia="Arial" w:asciiTheme="minorHAnsi" w:hAnsiTheme="minorHAnsi" w:eastAsiaTheme="minorEastAsia"/>
                <w:sz w:val="24"/>
                <w:szCs w:val="24"/>
                <w:lang w:eastAsia="ru-RU"/>
                <w14:ligatures w14:val="standardContextual"/>
              </w:rPr>
              <w:tab/>
            </w:r>
            <w:r>
              <w:fldChar w:fldCharType="begin"/>
            </w:r>
            <w:r>
              <w:instrText xml:space="preserve">PAGEREF _Toc230928883 \h</w:instrText>
            </w:r>
            <w:r>
              <w:fldChar w:fldCharType="separate"/>
            </w:r>
            <w:r>
              <w:rPr>
                <w:rStyle w:val="1321"/>
              </w:rPr>
              <w:t xml:space="preserve">Форма «Заверение об обстоятельствах»</w:t>
              <w:tab/>
              <w:t xml:space="preserve">62</w:t>
            </w:r>
            <w:r>
              <w:fldChar w:fldCharType="end"/>
            </w:r>
          </w:hyperlink>
          <w:r>
            <w:rPr>
              <w:rFonts w:ascii="Calibri" w:hAnsi="Calibri" w:eastAsia="Arial" w:asciiTheme="minorHAnsi" w:hAnsiTheme="minorHAnsi" w:eastAsiaTheme="minorEastAsia"/>
              <w:sz w:val="24"/>
              <w:szCs w:val="24"/>
              <w:lang w:eastAsia="ru-RU"/>
              <w14:ligatures w14:val="standardContextual"/>
            </w:rPr>
          </w:r>
          <w:r>
            <w:rPr>
              <w:rFonts w:ascii="Calibri" w:hAnsi="Calibri" w:eastAsia="Arial" w:asciiTheme="minorHAnsi" w:hAnsiTheme="minorHAnsi" w:eastAsiaTheme="minorEastAsia"/>
              <w:sz w:val="24"/>
              <w:szCs w:val="24"/>
              <w:lang w:eastAsia="ru-RU"/>
              <w14:ligatures w14:val="standardContextual"/>
            </w:rPr>
          </w:r>
        </w:p>
        <w:p>
          <w:pPr>
            <w:pStyle w:val="1349"/>
            <w:rPr>
              <w:rFonts w:ascii="Calibri" w:hAnsi="Calibri" w:eastAsia="Arial" w:asciiTheme="minorHAnsi" w:hAnsiTheme="minorHAnsi" w:eastAsiaTheme="minorEastAsia"/>
              <w:b w:val="0"/>
              <w:caps w:val="0"/>
              <w:smallCaps w:val="0"/>
              <w:sz w:val="24"/>
              <w:szCs w:val="24"/>
              <w:lang w:eastAsia="ru-RU"/>
              <w14:ligatures w14:val="standardContextual"/>
            </w:rPr>
          </w:pPr>
          <w:r/>
          <w:hyperlink w:tooltip="#_Toc230928884" w:anchor="_Toc230928884" w:history="1">
            <w:r>
              <w:rPr>
                <w:rStyle w:val="1321"/>
                <w:vanish w:val="0"/>
              </w:rPr>
              <w:t xml:space="preserve">11.</w:t>
            </w:r>
            <w:r>
              <w:rPr>
                <w:rStyle w:val="1321"/>
                <w:rFonts w:ascii="Calibri" w:hAnsi="Calibri" w:eastAsia="Arial" w:asciiTheme="minorHAnsi" w:hAnsiTheme="minorHAnsi" w:eastAsiaTheme="minorEastAsia"/>
                <w:b w:val="0"/>
                <w:caps w:val="0"/>
                <w:smallCaps w:val="0"/>
                <w:sz w:val="24"/>
                <w:szCs w:val="24"/>
                <w:lang w:eastAsia="ru-RU"/>
                <w14:ligatures w14:val="standardContextual"/>
              </w:rPr>
              <w:tab/>
            </w:r>
            <w:r>
              <w:fldChar w:fldCharType="begin"/>
            </w:r>
            <w:r>
              <w:instrText xml:space="preserve">PAGEREF _Toc230928884 \h</w:instrText>
            </w:r>
            <w:r>
              <w:fldChar w:fldCharType="separate"/>
            </w:r>
            <w:r>
              <w:rPr>
                <w:rStyle w:val="1321"/>
              </w:rPr>
              <w:t xml:space="preserve">Приложение № 6 – Состав заявки</w:t>
              <w:tab/>
              <w:t xml:space="preserve">63</w:t>
            </w:r>
            <w:r>
              <w:fldChar w:fldCharType="end"/>
            </w:r>
          </w:hyperlink>
          <w:r>
            <w:rPr>
              <w:rFonts w:ascii="Calibri" w:hAnsi="Calibri" w:eastAsia="Arial" w:asciiTheme="minorHAnsi" w:hAnsiTheme="minorHAnsi" w:eastAsiaTheme="minorEastAsia"/>
              <w:b w:val="0"/>
              <w:caps w:val="0"/>
              <w:smallCaps w:val="0"/>
              <w:sz w:val="24"/>
              <w:szCs w:val="24"/>
              <w:lang w:eastAsia="ru-RU"/>
              <w14:ligatures w14:val="standardContextual"/>
            </w:rPr>
          </w:r>
          <w:r>
            <w:rPr>
              <w:rFonts w:ascii="Calibri" w:hAnsi="Calibri" w:eastAsia="Arial" w:asciiTheme="minorHAnsi" w:hAnsiTheme="minorHAnsi" w:eastAsiaTheme="minorEastAsia"/>
              <w:b w:val="0"/>
              <w:caps w:val="0"/>
              <w:smallCaps w:val="0"/>
              <w:sz w:val="24"/>
              <w:szCs w:val="24"/>
              <w:lang w:eastAsia="ru-RU"/>
              <w14:ligatures w14:val="standardContextual"/>
            </w:rPr>
          </w:r>
        </w:p>
        <w:p>
          <w:pPr>
            <w:pStyle w:val="1348"/>
            <w:rPr>
              <w:rFonts w:ascii="Calibri" w:hAnsi="Calibri" w:eastAsia="Arial" w:asciiTheme="minorHAnsi" w:hAnsiTheme="minorHAnsi" w:eastAsiaTheme="minorEastAsia"/>
              <w:sz w:val="24"/>
              <w:szCs w:val="24"/>
              <w:lang w:eastAsia="ru-RU"/>
              <w14:ligatures w14:val="standardContextual"/>
            </w:rPr>
          </w:pPr>
          <w:r/>
          <w:hyperlink w:tooltip="#_Toc230928885" w:anchor="_Toc230928885" w:history="1">
            <w:r>
              <w:rPr>
                <w:rStyle w:val="1321"/>
                <w:vanish w:val="0"/>
              </w:rPr>
              <w:t xml:space="preserve">11.1</w:t>
            </w:r>
            <w:r>
              <w:rPr>
                <w:rStyle w:val="1321"/>
                <w:rFonts w:ascii="Calibri" w:hAnsi="Calibri" w:eastAsia="Arial" w:asciiTheme="minorHAnsi" w:hAnsiTheme="minorHAnsi" w:eastAsiaTheme="minorEastAsia"/>
                <w:sz w:val="24"/>
                <w:szCs w:val="24"/>
                <w:lang w:eastAsia="ru-RU"/>
                <w14:ligatures w14:val="standardContextual"/>
              </w:rPr>
              <w:tab/>
            </w:r>
            <w:r>
              <w:fldChar w:fldCharType="begin"/>
            </w:r>
            <w:r>
              <w:instrText xml:space="preserve">PAGEREF _Toc230928885 \h</w:instrText>
            </w:r>
            <w:r>
              <w:fldChar w:fldCharType="separate"/>
            </w:r>
            <w:r>
              <w:rPr>
                <w:rStyle w:val="1321"/>
              </w:rPr>
              <w:t xml:space="preserve">Состав заявки</w:t>
              <w:tab/>
              <w:t xml:space="preserve">63</w:t>
            </w:r>
            <w:r>
              <w:fldChar w:fldCharType="end"/>
            </w:r>
          </w:hyperlink>
          <w:r>
            <w:rPr>
              <w:rFonts w:ascii="Calibri" w:hAnsi="Calibri" w:eastAsia="Arial" w:asciiTheme="minorHAnsi" w:hAnsiTheme="minorHAnsi" w:eastAsiaTheme="minorEastAsia"/>
              <w:sz w:val="24"/>
              <w:szCs w:val="24"/>
              <w:lang w:eastAsia="ru-RU"/>
              <w14:ligatures w14:val="standardContextual"/>
            </w:rPr>
          </w:r>
          <w:r>
            <w:rPr>
              <w:rFonts w:ascii="Calibri" w:hAnsi="Calibri" w:eastAsia="Arial" w:asciiTheme="minorHAnsi" w:hAnsiTheme="minorHAnsi" w:eastAsiaTheme="minorEastAsia"/>
              <w:sz w:val="24"/>
              <w:szCs w:val="24"/>
              <w:lang w:eastAsia="ru-RU"/>
              <w14:ligatures w14:val="standardContextual"/>
            </w:rPr>
          </w:r>
        </w:p>
        <w:p>
          <w:pPr>
            <w:pStyle w:val="1349"/>
            <w:rPr>
              <w:rFonts w:ascii="Calibri" w:hAnsi="Calibri" w:eastAsia="Arial" w:asciiTheme="minorHAnsi" w:hAnsiTheme="minorHAnsi" w:eastAsiaTheme="minorEastAsia"/>
              <w:b w:val="0"/>
              <w:caps w:val="0"/>
              <w:smallCaps w:val="0"/>
              <w:sz w:val="24"/>
              <w:szCs w:val="24"/>
              <w:lang w:eastAsia="ru-RU"/>
              <w14:ligatures w14:val="standardContextual"/>
            </w:rPr>
          </w:pPr>
          <w:r/>
          <w:hyperlink w:tooltip="#_Toc230928886" w:anchor="_Toc230928886" w:history="1">
            <w:r>
              <w:rPr>
                <w:rStyle w:val="1321"/>
                <w:vanish w:val="0"/>
              </w:rPr>
              <w:t xml:space="preserve">12.</w:t>
            </w:r>
            <w:r>
              <w:rPr>
                <w:rStyle w:val="1321"/>
                <w:rFonts w:ascii="Calibri" w:hAnsi="Calibri" w:eastAsia="Arial" w:asciiTheme="minorHAnsi" w:hAnsiTheme="minorHAnsi" w:eastAsiaTheme="minorEastAsia"/>
                <w:b w:val="0"/>
                <w:caps w:val="0"/>
                <w:smallCaps w:val="0"/>
                <w:sz w:val="24"/>
                <w:szCs w:val="24"/>
                <w:lang w:eastAsia="ru-RU"/>
                <w14:ligatures w14:val="standardContextual"/>
              </w:rPr>
              <w:tab/>
            </w:r>
            <w:r>
              <w:fldChar w:fldCharType="begin"/>
            </w:r>
            <w:r>
              <w:instrText xml:space="preserve">PAGEREF _Toc230928886 \h</w:instrText>
            </w:r>
            <w:r>
              <w:fldChar w:fldCharType="separate"/>
            </w:r>
            <w:r>
              <w:rPr>
                <w:rStyle w:val="1321"/>
              </w:rPr>
              <w:t xml:space="preserve">Приложение № 7 – Отборочные критерии рассмотрения заявок</w:t>
              <w:tab/>
              <w:t xml:space="preserve">66</w:t>
            </w:r>
            <w:r>
              <w:fldChar w:fldCharType="end"/>
            </w:r>
          </w:hyperlink>
          <w:r>
            <w:rPr>
              <w:rFonts w:ascii="Calibri" w:hAnsi="Calibri" w:eastAsia="Arial" w:asciiTheme="minorHAnsi" w:hAnsiTheme="minorHAnsi" w:eastAsiaTheme="minorEastAsia"/>
              <w:b w:val="0"/>
              <w:caps w:val="0"/>
              <w:smallCaps w:val="0"/>
              <w:sz w:val="24"/>
              <w:szCs w:val="24"/>
              <w:lang w:eastAsia="ru-RU"/>
              <w14:ligatures w14:val="standardContextual"/>
            </w:rPr>
          </w:r>
          <w:r>
            <w:rPr>
              <w:rFonts w:ascii="Calibri" w:hAnsi="Calibri" w:eastAsia="Arial" w:asciiTheme="minorHAnsi" w:hAnsiTheme="minorHAnsi" w:eastAsiaTheme="minorEastAsia"/>
              <w:b w:val="0"/>
              <w:caps w:val="0"/>
              <w:smallCaps w:val="0"/>
              <w:sz w:val="24"/>
              <w:szCs w:val="24"/>
              <w:lang w:eastAsia="ru-RU"/>
              <w14:ligatures w14:val="standardContextual"/>
            </w:rPr>
          </w:r>
        </w:p>
        <w:p>
          <w:pPr>
            <w:pStyle w:val="1348"/>
            <w:rPr>
              <w:rFonts w:ascii="Calibri" w:hAnsi="Calibri" w:eastAsia="Arial" w:asciiTheme="minorHAnsi" w:hAnsiTheme="minorHAnsi" w:eastAsiaTheme="minorEastAsia"/>
              <w:sz w:val="24"/>
              <w:szCs w:val="24"/>
              <w:lang w:eastAsia="ru-RU"/>
              <w14:ligatures w14:val="standardContextual"/>
            </w:rPr>
          </w:pPr>
          <w:r/>
          <w:hyperlink w:tooltip="#_Toc230928887" w:anchor="_Toc230928887" w:history="1">
            <w:r>
              <w:rPr>
                <w:rStyle w:val="1321"/>
                <w:vanish w:val="0"/>
              </w:rPr>
              <w:t xml:space="preserve">12.1</w:t>
            </w:r>
            <w:r>
              <w:rPr>
                <w:rStyle w:val="1321"/>
                <w:rFonts w:ascii="Calibri" w:hAnsi="Calibri" w:eastAsia="Arial" w:asciiTheme="minorHAnsi" w:hAnsiTheme="minorHAnsi" w:eastAsiaTheme="minorEastAsia"/>
                <w:sz w:val="24"/>
                <w:szCs w:val="24"/>
                <w:lang w:eastAsia="ru-RU"/>
                <w14:ligatures w14:val="standardContextual"/>
              </w:rPr>
              <w:tab/>
            </w:r>
            <w:r>
              <w:fldChar w:fldCharType="begin"/>
            </w:r>
            <w:r>
              <w:instrText xml:space="preserve">PAGEREF _Toc230928887 \h</w:instrText>
            </w:r>
            <w:r>
              <w:fldChar w:fldCharType="separate"/>
            </w:r>
            <w:r>
              <w:rPr>
                <w:rStyle w:val="1321"/>
              </w:rPr>
              <w:t xml:space="preserve">Отборочные критерии рассмотрения заявок</w:t>
              <w:tab/>
              <w:t xml:space="preserve">66</w:t>
            </w:r>
            <w:r>
              <w:fldChar w:fldCharType="end"/>
            </w:r>
          </w:hyperlink>
          <w:r>
            <w:rPr>
              <w:rFonts w:ascii="Calibri" w:hAnsi="Calibri" w:eastAsia="Arial" w:asciiTheme="minorHAnsi" w:hAnsiTheme="minorHAnsi" w:eastAsiaTheme="minorEastAsia"/>
              <w:sz w:val="24"/>
              <w:szCs w:val="24"/>
              <w:lang w:eastAsia="ru-RU"/>
              <w14:ligatures w14:val="standardContextual"/>
            </w:rPr>
          </w:r>
          <w:r>
            <w:rPr>
              <w:rFonts w:ascii="Calibri" w:hAnsi="Calibri" w:eastAsia="Arial" w:asciiTheme="minorHAnsi" w:hAnsiTheme="minorHAnsi" w:eastAsiaTheme="minorEastAsia"/>
              <w:sz w:val="24"/>
              <w:szCs w:val="24"/>
              <w:lang w:eastAsia="ru-RU"/>
              <w14:ligatures w14:val="standardContextual"/>
            </w:rPr>
          </w:r>
        </w:p>
        <w:p>
          <w:pPr>
            <w:pStyle w:val="1348"/>
            <w:rPr>
              <w:rFonts w:ascii="Calibri" w:hAnsi="Calibri" w:eastAsia="Arial" w:asciiTheme="minorHAnsi" w:hAnsiTheme="minorHAnsi" w:eastAsiaTheme="minorEastAsia"/>
              <w:sz w:val="24"/>
              <w:szCs w:val="24"/>
              <w:lang w:eastAsia="ru-RU"/>
              <w14:ligatures w14:val="standardContextual"/>
            </w:rPr>
          </w:pPr>
          <w:r/>
          <w:hyperlink w:tooltip="#_Toc230928888" w:anchor="_Toc230928888" w:history="1">
            <w:r>
              <w:rPr>
                <w:rStyle w:val="1321"/>
                <w:vanish w:val="0"/>
              </w:rPr>
              <w:t xml:space="preserve">12.2</w:t>
            </w:r>
            <w:r>
              <w:rPr>
                <w:rStyle w:val="1321"/>
                <w:rFonts w:ascii="Calibri" w:hAnsi="Calibri" w:eastAsia="Arial" w:asciiTheme="minorHAnsi" w:hAnsiTheme="minorHAnsi" w:eastAsiaTheme="minorEastAsia"/>
                <w:sz w:val="24"/>
                <w:szCs w:val="24"/>
                <w:lang w:eastAsia="ru-RU"/>
                <w14:ligatures w14:val="standardContextual"/>
              </w:rPr>
              <w:tab/>
            </w:r>
            <w:r>
              <w:fldChar w:fldCharType="begin"/>
            </w:r>
            <w:r>
              <w:instrText xml:space="preserve">PAGEREF _Toc230928888 \h</w:instrText>
            </w:r>
            <w:r>
              <w:fldChar w:fldCharType="separate"/>
            </w:r>
            <w:r>
              <w:rPr>
                <w:rStyle w:val="1321"/>
              </w:rPr>
              <w:t xml:space="preserve">Дополнительные критерии проверки заявок на соответствие условиям Документации о закупке</w:t>
              <w:tab/>
              <w:t xml:space="preserve">70</w:t>
            </w:r>
            <w:r>
              <w:fldChar w:fldCharType="end"/>
            </w:r>
          </w:hyperlink>
          <w:r>
            <w:rPr>
              <w:rFonts w:ascii="Calibri" w:hAnsi="Calibri" w:eastAsia="Arial" w:asciiTheme="minorHAnsi" w:hAnsiTheme="minorHAnsi" w:eastAsiaTheme="minorEastAsia"/>
              <w:sz w:val="24"/>
              <w:szCs w:val="24"/>
              <w:lang w:eastAsia="ru-RU"/>
              <w14:ligatures w14:val="standardContextual"/>
            </w:rPr>
          </w:r>
          <w:r>
            <w:rPr>
              <w:rFonts w:ascii="Calibri" w:hAnsi="Calibri" w:eastAsia="Arial" w:asciiTheme="minorHAnsi" w:hAnsiTheme="minorHAnsi" w:eastAsiaTheme="minorEastAsia"/>
              <w:sz w:val="24"/>
              <w:szCs w:val="24"/>
              <w:lang w:eastAsia="ru-RU"/>
              <w14:ligatures w14:val="standardContextual"/>
            </w:rPr>
          </w:r>
        </w:p>
        <w:p>
          <w:pPr>
            <w:pStyle w:val="1349"/>
            <w:rPr>
              <w:rFonts w:ascii="Calibri" w:hAnsi="Calibri" w:eastAsia="Arial" w:asciiTheme="minorHAnsi" w:hAnsiTheme="minorHAnsi" w:eastAsiaTheme="minorEastAsia"/>
              <w:b w:val="0"/>
              <w:caps w:val="0"/>
              <w:smallCaps w:val="0"/>
              <w:sz w:val="24"/>
              <w:szCs w:val="24"/>
              <w:lang w:eastAsia="ru-RU"/>
              <w14:ligatures w14:val="standardContextual"/>
            </w:rPr>
          </w:pPr>
          <w:r/>
          <w:hyperlink w:tooltip="#_Toc230928889" w:anchor="_Toc230928889" w:history="1">
            <w:r>
              <w:rPr>
                <w:rStyle w:val="1321"/>
                <w:vanish w:val="0"/>
              </w:rPr>
              <w:t xml:space="preserve">13.</w:t>
            </w:r>
            <w:r>
              <w:rPr>
                <w:rStyle w:val="1321"/>
                <w:rFonts w:ascii="Calibri" w:hAnsi="Calibri" w:eastAsia="Arial" w:asciiTheme="minorHAnsi" w:hAnsiTheme="minorHAnsi" w:eastAsiaTheme="minorEastAsia"/>
                <w:b w:val="0"/>
                <w:caps w:val="0"/>
                <w:smallCaps w:val="0"/>
                <w:sz w:val="24"/>
                <w:szCs w:val="24"/>
                <w:lang w:eastAsia="ru-RU"/>
                <w14:ligatures w14:val="standardContextual"/>
              </w:rPr>
              <w:tab/>
            </w:r>
            <w:r>
              <w:fldChar w:fldCharType="begin"/>
            </w:r>
            <w:r>
              <w:instrText xml:space="preserve">PAGEREF _Toc230928889 \h</w:instrText>
            </w:r>
            <w:r>
              <w:fldChar w:fldCharType="separate"/>
            </w:r>
            <w:r>
              <w:rPr>
                <w:rStyle w:val="1321"/>
              </w:rPr>
              <w:t xml:space="preserve">Приложение № 8 – Порядок и критерии оценки и сопоставления заявок</w:t>
              <w:tab/>
              <w:t xml:space="preserve">73</w:t>
            </w:r>
            <w:r>
              <w:fldChar w:fldCharType="end"/>
            </w:r>
          </w:hyperlink>
          <w:r>
            <w:rPr>
              <w:rFonts w:ascii="Calibri" w:hAnsi="Calibri" w:eastAsia="Arial" w:asciiTheme="minorHAnsi" w:hAnsiTheme="minorHAnsi" w:eastAsiaTheme="minorEastAsia"/>
              <w:b w:val="0"/>
              <w:caps w:val="0"/>
              <w:smallCaps w:val="0"/>
              <w:sz w:val="24"/>
              <w:szCs w:val="24"/>
              <w:lang w:eastAsia="ru-RU"/>
              <w14:ligatures w14:val="standardContextual"/>
            </w:rPr>
          </w:r>
          <w:r>
            <w:rPr>
              <w:rFonts w:ascii="Calibri" w:hAnsi="Calibri" w:eastAsia="Arial" w:asciiTheme="minorHAnsi" w:hAnsiTheme="minorHAnsi" w:eastAsiaTheme="minorEastAsia"/>
              <w:b w:val="0"/>
              <w:caps w:val="0"/>
              <w:smallCaps w:val="0"/>
              <w:sz w:val="24"/>
              <w:szCs w:val="24"/>
              <w:lang w:eastAsia="ru-RU"/>
              <w14:ligatures w14:val="standardContextual"/>
            </w:rPr>
          </w:r>
        </w:p>
        <w:p>
          <w:pPr>
            <w:pStyle w:val="1348"/>
            <w:rPr>
              <w:rFonts w:ascii="Calibri" w:hAnsi="Calibri" w:eastAsia="Arial" w:asciiTheme="minorHAnsi" w:hAnsiTheme="minorHAnsi" w:eastAsiaTheme="minorEastAsia"/>
              <w:sz w:val="24"/>
              <w:szCs w:val="24"/>
              <w:lang w:eastAsia="ru-RU"/>
              <w14:ligatures w14:val="standardContextual"/>
            </w:rPr>
          </w:pPr>
          <w:r/>
          <w:hyperlink w:tooltip="#_Toc230928890" w:anchor="_Toc230928890" w:history="1">
            <w:r>
              <w:rPr>
                <w:rStyle w:val="1321"/>
                <w:vanish w:val="0"/>
              </w:rPr>
              <w:t xml:space="preserve">13.1</w:t>
            </w:r>
            <w:r>
              <w:rPr>
                <w:rStyle w:val="1321"/>
                <w:rFonts w:ascii="Calibri" w:hAnsi="Calibri" w:eastAsia="Arial" w:asciiTheme="minorHAnsi" w:hAnsiTheme="minorHAnsi" w:eastAsiaTheme="minorEastAsia"/>
                <w:sz w:val="24"/>
                <w:szCs w:val="24"/>
                <w:lang w:eastAsia="ru-RU"/>
                <w14:ligatures w14:val="standardContextual"/>
              </w:rPr>
              <w:tab/>
            </w:r>
            <w:r>
              <w:fldChar w:fldCharType="begin"/>
            </w:r>
            <w:r>
              <w:instrText xml:space="preserve">PAGEREF _Toc230928890 \h</w:instrText>
            </w:r>
            <w:r>
              <w:fldChar w:fldCharType="separate"/>
            </w:r>
            <w:r>
              <w:rPr>
                <w:rStyle w:val="1321"/>
              </w:rPr>
              <w:t xml:space="preserve">Порядок и критерии оценки и сопоставления заявок</w:t>
              <w:tab/>
              <w:t xml:space="preserve">73</w:t>
            </w:r>
            <w:r>
              <w:fldChar w:fldCharType="end"/>
            </w:r>
          </w:hyperlink>
          <w:r>
            <w:rPr>
              <w:rFonts w:ascii="Calibri" w:hAnsi="Calibri" w:eastAsia="Arial" w:asciiTheme="minorHAnsi" w:hAnsiTheme="minorHAnsi" w:eastAsiaTheme="minorEastAsia"/>
              <w:sz w:val="24"/>
              <w:szCs w:val="24"/>
              <w:lang w:eastAsia="ru-RU"/>
              <w14:ligatures w14:val="standardContextual"/>
            </w:rPr>
          </w:r>
          <w:r>
            <w:rPr>
              <w:rFonts w:ascii="Calibri" w:hAnsi="Calibri" w:eastAsia="Arial" w:asciiTheme="minorHAnsi" w:hAnsiTheme="minorHAnsi" w:eastAsiaTheme="minorEastAsia"/>
              <w:sz w:val="24"/>
              <w:szCs w:val="24"/>
              <w:lang w:eastAsia="ru-RU"/>
              <w14:ligatures w14:val="standardContextual"/>
            </w:rPr>
          </w:r>
        </w:p>
        <w:p>
          <w:pPr>
            <w:pStyle w:val="1349"/>
            <w:rPr>
              <w:rFonts w:ascii="Calibri" w:hAnsi="Calibri" w:eastAsia="Arial" w:asciiTheme="minorHAnsi" w:hAnsiTheme="minorHAnsi" w:eastAsiaTheme="minorEastAsia"/>
              <w:b w:val="0"/>
              <w:caps w:val="0"/>
              <w:smallCaps w:val="0"/>
              <w:sz w:val="24"/>
              <w:szCs w:val="24"/>
              <w:lang w:eastAsia="ru-RU"/>
              <w14:ligatures w14:val="standardContextual"/>
            </w:rPr>
          </w:pPr>
          <w:r/>
          <w:hyperlink w:tooltip="#_Toc230928891" w:anchor="_Toc230928891" w:history="1">
            <w:r>
              <w:rPr>
                <w:rStyle w:val="1321"/>
                <w:vanish w:val="0"/>
              </w:rPr>
              <w:t xml:space="preserve">14.</w:t>
            </w:r>
            <w:r>
              <w:rPr>
                <w:rStyle w:val="1321"/>
                <w:rFonts w:ascii="Calibri" w:hAnsi="Calibri" w:eastAsia="Arial" w:asciiTheme="minorHAnsi" w:hAnsiTheme="minorHAnsi" w:eastAsiaTheme="minorEastAsia"/>
                <w:b w:val="0"/>
                <w:caps w:val="0"/>
                <w:smallCaps w:val="0"/>
                <w:sz w:val="24"/>
                <w:szCs w:val="24"/>
                <w:lang w:eastAsia="ru-RU"/>
                <w14:ligatures w14:val="standardContextual"/>
              </w:rPr>
              <w:tab/>
            </w:r>
            <w:r>
              <w:fldChar w:fldCharType="begin"/>
            </w:r>
            <w:r>
              <w:instrText xml:space="preserve">PAGEREF _Toc230928891 \h</w:instrText>
            </w:r>
            <w:r>
              <w:fldChar w:fldCharType="separate"/>
            </w:r>
            <w:r>
              <w:rPr>
                <w:rStyle w:val="1321"/>
              </w:rPr>
              <w:t xml:space="preserve">Приложение № 9 – Обоснование НМЦ</w:t>
              <w:tab/>
              <w:t xml:space="preserve">80</w:t>
            </w:r>
            <w:r>
              <w:fldChar w:fldCharType="end"/>
            </w:r>
          </w:hyperlink>
          <w:r>
            <w:rPr>
              <w:rFonts w:ascii="Calibri" w:hAnsi="Calibri" w:eastAsia="Arial" w:asciiTheme="minorHAnsi" w:hAnsiTheme="minorHAnsi" w:eastAsiaTheme="minorEastAsia"/>
              <w:b w:val="0"/>
              <w:caps w:val="0"/>
              <w:smallCaps w:val="0"/>
              <w:sz w:val="24"/>
              <w:szCs w:val="24"/>
              <w:lang w:eastAsia="ru-RU"/>
              <w14:ligatures w14:val="standardContextual"/>
            </w:rPr>
          </w:r>
          <w:r>
            <w:rPr>
              <w:rFonts w:ascii="Calibri" w:hAnsi="Calibri" w:eastAsia="Arial" w:asciiTheme="minorHAnsi" w:hAnsiTheme="minorHAnsi" w:eastAsiaTheme="minorEastAsia"/>
              <w:b w:val="0"/>
              <w:caps w:val="0"/>
              <w:smallCaps w:val="0"/>
              <w:sz w:val="24"/>
              <w:szCs w:val="24"/>
              <w:lang w:eastAsia="ru-RU"/>
              <w14:ligatures w14:val="standardContextual"/>
            </w:rPr>
          </w:r>
        </w:p>
        <w:p>
          <w:pPr>
            <w:pStyle w:val="1348"/>
            <w:rPr>
              <w:rFonts w:ascii="Calibri" w:hAnsi="Calibri" w:eastAsia="Arial" w:asciiTheme="minorHAnsi" w:hAnsiTheme="minorHAnsi" w:eastAsiaTheme="minorEastAsia"/>
              <w:sz w:val="24"/>
              <w:szCs w:val="24"/>
              <w:lang w:eastAsia="ru-RU"/>
              <w14:ligatures w14:val="standardContextual"/>
            </w:rPr>
          </w:pPr>
          <w:r/>
          <w:hyperlink w:tooltip="#_Toc230928892" w:anchor="_Toc230928892" w:history="1">
            <w:r>
              <w:rPr>
                <w:rStyle w:val="1321"/>
                <w:vanish w:val="0"/>
              </w:rPr>
              <w:t xml:space="preserve">14.1</w:t>
            </w:r>
            <w:r>
              <w:rPr>
                <w:rStyle w:val="1321"/>
                <w:rFonts w:ascii="Calibri" w:hAnsi="Calibri" w:eastAsia="Arial" w:asciiTheme="minorHAnsi" w:hAnsiTheme="minorHAnsi" w:eastAsiaTheme="minorEastAsia"/>
                <w:sz w:val="24"/>
                <w:szCs w:val="24"/>
                <w:lang w:eastAsia="ru-RU"/>
                <w14:ligatures w14:val="standardContextual"/>
              </w:rPr>
              <w:tab/>
            </w:r>
            <w:r>
              <w:fldChar w:fldCharType="begin"/>
            </w:r>
            <w:r>
              <w:instrText xml:space="preserve">PAGEREF _Toc230928892 \h</w:instrText>
            </w:r>
            <w:r>
              <w:fldChar w:fldCharType="separate"/>
            </w:r>
            <w:r>
              <w:rPr>
                <w:rStyle w:val="1321"/>
              </w:rPr>
              <w:t xml:space="preserve">Пояснения к Обоснованию НМЦ</w:t>
              <w:tab/>
              <w:t xml:space="preserve">80</w:t>
            </w:r>
            <w:r>
              <w:fldChar w:fldCharType="end"/>
            </w:r>
          </w:hyperlink>
          <w:r>
            <w:rPr>
              <w:rFonts w:ascii="Calibri" w:hAnsi="Calibri" w:eastAsia="Arial" w:asciiTheme="minorHAnsi" w:hAnsiTheme="minorHAnsi" w:eastAsiaTheme="minorEastAsia"/>
              <w:sz w:val="24"/>
              <w:szCs w:val="24"/>
              <w:lang w:eastAsia="ru-RU"/>
              <w14:ligatures w14:val="standardContextual"/>
            </w:rPr>
          </w:r>
          <w:r>
            <w:rPr>
              <w:rFonts w:ascii="Calibri" w:hAnsi="Calibri" w:eastAsia="Arial" w:asciiTheme="minorHAnsi" w:hAnsiTheme="minorHAnsi" w:eastAsiaTheme="minorEastAsia"/>
              <w:sz w:val="24"/>
              <w:szCs w:val="24"/>
              <w:lang w:eastAsia="ru-RU"/>
              <w14:ligatures w14:val="standardContextual"/>
            </w:rPr>
          </w:r>
        </w:p>
        <w:p>
          <w:pPr>
            <w:pStyle w:val="1349"/>
            <w:rPr>
              <w:rFonts w:ascii="Calibri" w:hAnsi="Calibri" w:eastAsia="Arial" w:asciiTheme="minorHAnsi" w:hAnsiTheme="minorHAnsi" w:eastAsiaTheme="minorEastAsia"/>
              <w:b w:val="0"/>
              <w:caps w:val="0"/>
              <w:smallCaps w:val="0"/>
              <w:sz w:val="24"/>
              <w:szCs w:val="24"/>
              <w:lang w:eastAsia="ru-RU"/>
              <w14:ligatures w14:val="standardContextual"/>
            </w:rPr>
          </w:pPr>
          <w:r/>
          <w:hyperlink w:tooltip="#_Toc230928893" w:anchor="_Toc230928893" w:history="1">
            <w:r>
              <w:rPr>
                <w:rStyle w:val="1321"/>
                <w:vanish w:val="0"/>
              </w:rPr>
              <w:t xml:space="preserve">15.</w:t>
            </w:r>
            <w:r>
              <w:rPr>
                <w:rStyle w:val="1321"/>
                <w:rFonts w:ascii="Calibri" w:hAnsi="Calibri" w:eastAsia="Arial" w:asciiTheme="minorHAnsi" w:hAnsiTheme="minorHAnsi" w:eastAsiaTheme="minorEastAsia"/>
                <w:b w:val="0"/>
                <w:caps w:val="0"/>
                <w:smallCaps w:val="0"/>
                <w:sz w:val="24"/>
                <w:szCs w:val="24"/>
                <w:lang w:eastAsia="ru-RU"/>
                <w14:ligatures w14:val="standardContextual"/>
              </w:rPr>
              <w:tab/>
            </w:r>
            <w:r>
              <w:fldChar w:fldCharType="begin"/>
            </w:r>
            <w:r>
              <w:instrText xml:space="preserve">PAGEREF _Toc230928893 \h</w:instrText>
            </w:r>
            <w:r>
              <w:fldChar w:fldCharType="separate"/>
            </w:r>
            <w:r>
              <w:rPr>
                <w:rStyle w:val="1321"/>
              </w:rPr>
              <w:t xml:space="preserve">Приложение № 10 – Форма Заявки на аккредитацию</w:t>
              <w:tab/>
              <w:t xml:space="preserve">81</w:t>
            </w:r>
            <w:r>
              <w:fldChar w:fldCharType="end"/>
            </w:r>
          </w:hyperlink>
          <w:r>
            <w:rPr>
              <w:rFonts w:ascii="Calibri" w:hAnsi="Calibri" w:eastAsia="Arial" w:asciiTheme="minorHAnsi" w:hAnsiTheme="minorHAnsi" w:eastAsiaTheme="minorEastAsia"/>
              <w:b w:val="0"/>
              <w:caps w:val="0"/>
              <w:smallCaps w:val="0"/>
              <w:sz w:val="24"/>
              <w:szCs w:val="24"/>
              <w:lang w:eastAsia="ru-RU"/>
              <w14:ligatures w14:val="standardContextual"/>
            </w:rPr>
          </w:r>
          <w:r>
            <w:rPr>
              <w:rFonts w:ascii="Calibri" w:hAnsi="Calibri" w:eastAsia="Arial" w:asciiTheme="minorHAnsi" w:hAnsiTheme="minorHAnsi" w:eastAsiaTheme="minorEastAsia"/>
              <w:b w:val="0"/>
              <w:caps w:val="0"/>
              <w:smallCaps w:val="0"/>
              <w:sz w:val="24"/>
              <w:szCs w:val="24"/>
              <w:lang w:eastAsia="ru-RU"/>
              <w14:ligatures w14:val="standardContextual"/>
            </w:rPr>
          </w:r>
        </w:p>
        <w:p>
          <w:pPr>
            <w:pStyle w:val="1348"/>
            <w:rPr>
              <w:rFonts w:ascii="Calibri" w:hAnsi="Calibri" w:eastAsia="Arial" w:asciiTheme="minorHAnsi" w:hAnsiTheme="minorHAnsi" w:eastAsiaTheme="minorEastAsia"/>
              <w:sz w:val="24"/>
              <w:szCs w:val="24"/>
              <w:lang w:eastAsia="ru-RU"/>
              <w14:ligatures w14:val="standardContextual"/>
            </w:rPr>
          </w:pPr>
          <w:r/>
          <w:hyperlink w:tooltip="#_Toc230928894" w:anchor="_Toc230928894" w:history="1">
            <w:r>
              <w:rPr>
                <w:rStyle w:val="1321"/>
                <w:vanish w:val="0"/>
              </w:rPr>
              <w:t xml:space="preserve">15.1</w:t>
            </w:r>
            <w:r>
              <w:rPr>
                <w:rStyle w:val="1321"/>
                <w:rFonts w:ascii="Calibri" w:hAnsi="Calibri" w:eastAsia="Arial" w:asciiTheme="minorHAnsi" w:hAnsiTheme="minorHAnsi" w:eastAsiaTheme="minorEastAsia"/>
                <w:sz w:val="24"/>
                <w:szCs w:val="24"/>
                <w:lang w:eastAsia="ru-RU"/>
                <w14:ligatures w14:val="standardContextual"/>
              </w:rPr>
              <w:tab/>
            </w:r>
            <w:r>
              <w:fldChar w:fldCharType="begin"/>
            </w:r>
            <w:r>
              <w:instrText xml:space="preserve">PAGEREF _Toc230928894 \h</w:instrText>
            </w:r>
            <w:r>
              <w:fldChar w:fldCharType="separate"/>
            </w:r>
            <w:r>
              <w:rPr>
                <w:rStyle w:val="1321"/>
              </w:rPr>
              <w:t xml:space="preserve">Пояснения к форме Заявки на аккредитацию</w:t>
              <w:tab/>
              <w:t xml:space="preserve">81</w:t>
            </w:r>
            <w:r>
              <w:fldChar w:fldCharType="end"/>
            </w:r>
          </w:hyperlink>
          <w:r>
            <w:rPr>
              <w:rFonts w:ascii="Calibri" w:hAnsi="Calibri" w:eastAsia="Arial" w:asciiTheme="minorHAnsi" w:hAnsiTheme="minorHAnsi" w:eastAsiaTheme="minorEastAsia"/>
              <w:sz w:val="24"/>
              <w:szCs w:val="24"/>
              <w:lang w:eastAsia="ru-RU"/>
              <w14:ligatures w14:val="standardContextual"/>
            </w:rPr>
          </w:r>
          <w:r>
            <w:rPr>
              <w:rFonts w:ascii="Calibri" w:hAnsi="Calibri" w:eastAsia="Arial" w:asciiTheme="minorHAnsi" w:hAnsiTheme="minorHAnsi" w:eastAsiaTheme="minorEastAsia"/>
              <w:sz w:val="24"/>
              <w:szCs w:val="24"/>
              <w:lang w:eastAsia="ru-RU"/>
              <w14:ligatures w14:val="standardContextual"/>
            </w:rPr>
          </w:r>
        </w:p>
        <w:p>
          <w:pPr>
            <w:pStyle w:val="1349"/>
            <w:rPr>
              <w:rFonts w:ascii="Calibri" w:hAnsi="Calibri" w:eastAsia="Arial" w:asciiTheme="minorHAnsi" w:hAnsiTheme="minorHAnsi" w:eastAsiaTheme="minorEastAsia"/>
              <w:b w:val="0"/>
              <w:caps w:val="0"/>
              <w:smallCaps w:val="0"/>
              <w:sz w:val="24"/>
              <w:szCs w:val="24"/>
              <w:lang w:eastAsia="ru-RU"/>
              <w14:ligatures w14:val="standardContextual"/>
            </w:rPr>
          </w:pPr>
          <w:r/>
          <w:hyperlink w:tooltip="#_Toc230928895" w:anchor="_Toc230928895" w:history="1">
            <w:r>
              <w:rPr>
                <w:rStyle w:val="1321"/>
                <w:vanish w:val="0"/>
              </w:rPr>
              <w:t xml:space="preserve">16.</w:t>
            </w:r>
            <w:r>
              <w:rPr>
                <w:rStyle w:val="1321"/>
                <w:rFonts w:ascii="Calibri" w:hAnsi="Calibri" w:eastAsia="Arial" w:asciiTheme="minorHAnsi" w:hAnsiTheme="minorHAnsi" w:eastAsiaTheme="minorEastAsia"/>
                <w:b w:val="0"/>
                <w:caps w:val="0"/>
                <w:smallCaps w:val="0"/>
                <w:sz w:val="24"/>
                <w:szCs w:val="24"/>
                <w:lang w:eastAsia="ru-RU"/>
                <w14:ligatures w14:val="standardContextual"/>
              </w:rPr>
              <w:tab/>
            </w:r>
            <w:r>
              <w:fldChar w:fldCharType="begin"/>
            </w:r>
            <w:r>
              <w:instrText xml:space="preserve">PAGEREF _Toc230928895 \h</w:instrText>
            </w:r>
            <w:r>
              <w:fldChar w:fldCharType="separate"/>
            </w:r>
            <w:r>
              <w:rPr>
                <w:rStyle w:val="1321"/>
              </w:rPr>
              <w:t xml:space="preserve">Приложение № 11 – форма Данных бухгалтерской (финансовой) отчетности</w:t>
              <w:tab/>
              <w:t xml:space="preserve">82</w:t>
            </w:r>
            <w:r>
              <w:fldChar w:fldCharType="end"/>
            </w:r>
          </w:hyperlink>
          <w:r>
            <w:rPr>
              <w:rFonts w:ascii="Calibri" w:hAnsi="Calibri" w:eastAsia="Arial" w:asciiTheme="minorHAnsi" w:hAnsiTheme="minorHAnsi" w:eastAsiaTheme="minorEastAsia"/>
              <w:b w:val="0"/>
              <w:caps w:val="0"/>
              <w:smallCaps w:val="0"/>
              <w:sz w:val="24"/>
              <w:szCs w:val="24"/>
              <w:lang w:eastAsia="ru-RU"/>
              <w14:ligatures w14:val="standardContextual"/>
            </w:rPr>
          </w:r>
          <w:r>
            <w:rPr>
              <w:rFonts w:ascii="Calibri" w:hAnsi="Calibri" w:eastAsia="Arial" w:asciiTheme="minorHAnsi" w:hAnsiTheme="minorHAnsi" w:eastAsiaTheme="minorEastAsia"/>
              <w:b w:val="0"/>
              <w:caps w:val="0"/>
              <w:smallCaps w:val="0"/>
              <w:sz w:val="24"/>
              <w:szCs w:val="24"/>
              <w:lang w:eastAsia="ru-RU"/>
              <w14:ligatures w14:val="standardContextual"/>
            </w:rPr>
          </w:r>
        </w:p>
        <w:p>
          <w:pPr>
            <w:pStyle w:val="1348"/>
            <w:rPr>
              <w:rFonts w:ascii="Calibri" w:hAnsi="Calibri" w:eastAsia="Arial" w:asciiTheme="minorHAnsi" w:hAnsiTheme="minorHAnsi" w:eastAsiaTheme="minorEastAsia"/>
              <w:sz w:val="24"/>
              <w:szCs w:val="24"/>
              <w:lang w:eastAsia="ru-RU"/>
              <w14:ligatures w14:val="standardContextual"/>
            </w:rPr>
          </w:pPr>
          <w:r/>
          <w:hyperlink w:tooltip="#_Toc230928896" w:anchor="_Toc230928896" w:history="1">
            <w:r>
              <w:rPr>
                <w:rStyle w:val="1321"/>
                <w:vanish w:val="0"/>
              </w:rPr>
              <w:t xml:space="preserve">16.1</w:t>
            </w:r>
            <w:r>
              <w:rPr>
                <w:rStyle w:val="1321"/>
                <w:rFonts w:ascii="Calibri" w:hAnsi="Calibri" w:eastAsia="Arial" w:asciiTheme="minorHAnsi" w:hAnsiTheme="minorHAnsi" w:eastAsiaTheme="minorEastAsia"/>
                <w:sz w:val="24"/>
                <w:szCs w:val="24"/>
                <w:lang w:eastAsia="ru-RU"/>
                <w14:ligatures w14:val="standardContextual"/>
              </w:rPr>
              <w:tab/>
            </w:r>
            <w:r>
              <w:fldChar w:fldCharType="begin"/>
            </w:r>
            <w:r>
              <w:instrText xml:space="preserve">PAGEREF _Toc230928896 \h</w:instrText>
            </w:r>
            <w:r>
              <w:fldChar w:fldCharType="separate"/>
            </w:r>
            <w:r>
              <w:rPr>
                <w:rStyle w:val="1321"/>
              </w:rPr>
              <w:t xml:space="preserve">Пояснения к форме Данных бухгалтерской (финансовой) отчетности</w:t>
              <w:tab/>
              <w:t xml:space="preserve">82</w:t>
            </w:r>
            <w:r>
              <w:fldChar w:fldCharType="end"/>
            </w:r>
          </w:hyperlink>
          <w:r>
            <w:rPr>
              <w:rStyle w:val="1321"/>
            </w:rPr>
            <w:fldChar w:fldCharType="end"/>
          </w:r>
          <w:r>
            <w:rPr>
              <w:rFonts w:ascii="Calibri" w:hAnsi="Calibri" w:eastAsia="Arial" w:asciiTheme="minorHAnsi" w:hAnsiTheme="minorHAnsi" w:eastAsiaTheme="minorEastAsia"/>
              <w:sz w:val="24"/>
              <w:szCs w:val="24"/>
              <w:lang w:eastAsia="ru-RU"/>
              <w14:ligatures w14:val="standardContextual"/>
            </w:rPr>
          </w:r>
          <w:r>
            <w:rPr>
              <w:rFonts w:ascii="Calibri" w:hAnsi="Calibri" w:eastAsia="Arial" w:asciiTheme="minorHAnsi" w:hAnsiTheme="minorHAnsi" w:eastAsiaTheme="minorEastAsia"/>
              <w:sz w:val="24"/>
              <w:szCs w:val="24"/>
              <w:lang w:eastAsia="ru-RU"/>
              <w14:ligatures w14:val="standardContextual"/>
            </w:rPr>
          </w:r>
        </w:p>
      </w:sdtContent>
    </w:sdt>
    <w:p>
      <w:pPr>
        <w:pStyle w:val="1342"/>
        <w:jc w:val="both"/>
      </w:pPr>
      <w:r/>
      <w:r/>
    </w:p>
    <w:p>
      <w:pPr>
        <w:pStyle w:val="1342"/>
        <w:keepNext/>
        <w:spacing w:before="60" w:after="0"/>
        <w:rPr>
          <w:rStyle w:val="1315"/>
        </w:rPr>
      </w:pPr>
      <w:r>
        <w:rPr>
          <w:rStyle w:val="1315"/>
        </w:rPr>
        <w:t xml:space="preserve">[Примечание (дополнительные удобства работы с Документацией о закупке; Microsoft Word | </w:t>
      </w:r>
      <w:r>
        <w:rPr>
          <w:rStyle w:val="1315"/>
          <w:color w:val="4472c4" w:themeColor="accent1"/>
        </w:rPr>
        <w:t xml:space="preserve">AlterOffice AText – отмечены отличая для данного текстового редактора</w:t>
      </w:r>
      <w:r>
        <w:rPr>
          <w:rStyle w:val="1315"/>
        </w:rPr>
        <w:t xml:space="preserve">):</w:t>
      </w:r>
      <w:r>
        <w:rPr>
          <w:rStyle w:val="1315"/>
        </w:rPr>
      </w:r>
      <w:r>
        <w:rPr>
          <w:rStyle w:val="1315"/>
        </w:rPr>
      </w:r>
    </w:p>
    <w:p>
      <w:pPr>
        <w:pStyle w:val="1342"/>
        <w:numPr>
          <w:ilvl w:val="0"/>
          <w:numId w:val="12"/>
        </w:numPr>
        <w:ind w:left="284" w:hanging="284"/>
        <w:spacing w:before="60" w:after="0"/>
        <w:rPr>
          <w:rStyle w:val="1315"/>
        </w:rPr>
      </w:pPr>
      <w:r>
        <w:rPr>
          <w:rStyle w:val="1315"/>
        </w:rPr>
        <w:t xml:space="preserve">для навигации рекомендуется использовать боковое меню – включается на вкладке «Вид» в разделе «Отображение» опцией «Область навигации» | </w:t>
      </w:r>
      <w:r>
        <w:rPr>
          <w:rStyle w:val="1315"/>
          <w:color w:val="4472c4" w:themeColor="accent1"/>
        </w:rPr>
        <w:t xml:space="preserve">включается на вкладке «Вид» опцией «Навигатор»</w:t>
      </w:r>
      <w:r>
        <w:rPr>
          <w:rStyle w:val="1315"/>
        </w:rPr>
        <w:t xml:space="preserve">;</w:t>
      </w:r>
      <w:r>
        <w:rPr>
          <w:rStyle w:val="1315"/>
        </w:rPr>
      </w:r>
      <w:r>
        <w:rPr>
          <w:rStyle w:val="1315"/>
        </w:rPr>
      </w:r>
    </w:p>
    <w:p>
      <w:pPr>
        <w:pStyle w:val="1342"/>
        <w:numPr>
          <w:ilvl w:val="0"/>
          <w:numId w:val="12"/>
        </w:numPr>
        <w:ind w:left="284" w:hanging="284"/>
        <w:spacing w:before="0" w:after="0"/>
        <w:rPr>
          <w:rStyle w:val="1315"/>
        </w:rPr>
      </w:pPr>
      <w:r>
        <w:rPr>
          <w:rStyle w:val="1315"/>
        </w:rPr>
        <w:t xml:space="preserve">переход по перекрестным и другим ссылкам осуществляется левым кликом мыши с</w:t>
      </w:r>
      <w:r>
        <w:rPr>
          <w:rStyle w:val="1315"/>
          <w:lang w:val="en-US"/>
        </w:rPr>
        <w:t xml:space="preserve"> </w:t>
      </w:r>
      <w:r>
        <w:rPr>
          <w:rStyle w:val="1315"/>
        </w:rPr>
        <w:t xml:space="preserve">зажатой клавишей Ctrl, обратный возврат на место в тексте, с которого был сделан переход, осуществляется нажатием стрелки влево (←) с зажатой левой клавишей Alt </w:t>
      </w:r>
      <w:r>
        <w:rPr>
          <w:rStyle w:val="1315"/>
          <w:color w:val="4472c4" w:themeColor="accent1"/>
        </w:rPr>
        <w:t xml:space="preserve">(обратный переход функционально не реализован в AlterOffice AText, пользуйтесь функциональностью «Навигатор»)</w:t>
      </w:r>
      <w:r>
        <w:rPr>
          <w:rStyle w:val="1315"/>
        </w:rPr>
        <w:t xml:space="preserve">;</w:t>
      </w:r>
      <w:r>
        <w:rPr>
          <w:rStyle w:val="1315"/>
        </w:rPr>
      </w:r>
      <w:r>
        <w:rPr>
          <w:rStyle w:val="1315"/>
        </w:rPr>
      </w:r>
    </w:p>
    <w:p>
      <w:pPr>
        <w:pStyle w:val="1342"/>
        <w:numPr>
          <w:ilvl w:val="0"/>
          <w:numId w:val="12"/>
        </w:numPr>
        <w:ind w:left="284" w:hanging="284"/>
        <w:spacing w:before="0" w:after="0"/>
        <w:rPr>
          <w:rStyle w:val="1315"/>
        </w:rPr>
      </w:pPr>
      <w:r>
        <w:rPr>
          <w:rStyle w:val="1315"/>
        </w:rPr>
        <w:t xml:space="preserve">открытие внедренного в текст документа (файла) осуществляется по двойному клику левой клавиши мыши по соответствующей иконке документа (файла) в</w:t>
      </w:r>
      <w:r>
        <w:rPr>
          <w:rStyle w:val="1315"/>
          <w:lang w:val="en-US"/>
        </w:rPr>
        <w:t xml:space="preserve"> </w:t>
      </w:r>
      <w:r>
        <w:rPr>
          <w:rStyle w:val="1315"/>
        </w:rPr>
        <w:t xml:space="preserve">тексте;</w:t>
      </w:r>
      <w:r>
        <w:rPr>
          <w:rStyle w:val="1315"/>
        </w:rPr>
      </w:r>
      <w:r>
        <w:rPr>
          <w:rStyle w:val="1315"/>
        </w:rPr>
      </w:r>
    </w:p>
    <w:p>
      <w:pPr>
        <w:pStyle w:val="1342"/>
        <w:numPr>
          <w:ilvl w:val="0"/>
          <w:numId w:val="12"/>
        </w:numPr>
        <w:ind w:left="284" w:hanging="284"/>
        <w:spacing w:before="0" w:after="0"/>
        <w:rPr>
          <w:rStyle w:val="1315"/>
        </w:rPr>
      </w:pPr>
      <w:r>
        <w:rPr>
          <w:rStyle w:val="1315"/>
          <w:color w:val="4472c4" w:themeColor="accent1"/>
        </w:rPr>
        <w:t xml:space="preserve">отключение затенения серыми блоками по тексту объектов, в том числе некоторых неразрывных пробелов и перекрестных ссылок: Ctrl + F8 (только для AlterOffice AText)</w:t>
      </w:r>
      <w:r>
        <w:rPr>
          <w:rStyle w:val="1315"/>
        </w:rPr>
        <w:t xml:space="preserve">.]</w:t>
      </w:r>
      <w:r>
        <w:rPr>
          <w:rStyle w:val="1315"/>
        </w:rPr>
      </w:r>
      <w:r>
        <w:rPr>
          <w:rStyle w:val="1315"/>
        </w:rPr>
      </w:r>
    </w:p>
    <w:p>
      <w:pPr>
        <w:pStyle w:val="1341"/>
        <w:numPr>
          <w:ilvl w:val="0"/>
          <w:numId w:val="0"/>
        </w:numPr>
        <w:ind w:left="0" w:firstLine="0"/>
        <w:outlineLvl w:val="0"/>
      </w:pPr>
      <w:r/>
      <w:bookmarkStart w:id="0" w:name="_Toc230928825"/>
      <w:r>
        <w:t xml:space="preserve">Сокращения</w:t>
      </w:r>
      <w:bookmarkEnd w:id="0"/>
      <w:r/>
      <w:r/>
    </w:p>
    <w:p>
      <w:pPr>
        <w:pStyle w:val="1342"/>
        <w:ind w:firstLine="567"/>
      </w:pPr>
      <w:r>
        <w:rPr>
          <w:b/>
          <w:bCs/>
        </w:rPr>
        <w:t xml:space="preserve">ГК РФ</w:t>
      </w:r>
      <w:r>
        <w:t xml:space="preserve"> – Гражданской кодекс Российской Федерации.</w:t>
      </w:r>
      <w:r/>
    </w:p>
    <w:p>
      <w:pPr>
        <w:pStyle w:val="1342"/>
        <w:ind w:firstLine="567"/>
        <w:rPr>
          <w:b/>
          <w:bCs/>
        </w:rPr>
      </w:pPr>
      <w:r>
        <w:rPr>
          <w:b/>
          <w:bCs/>
        </w:rPr>
        <w:t xml:space="preserve">ЕАЭС</w:t>
      </w:r>
      <w:r>
        <w:t xml:space="preserve"> – Евразийский экономический союз.</w:t>
      </w:r>
      <w:r>
        <w:rPr>
          <w:b/>
          <w:bCs/>
        </w:rPr>
      </w:r>
      <w:r>
        <w:rPr>
          <w:b/>
          <w:bCs/>
        </w:rPr>
      </w:r>
    </w:p>
    <w:p>
      <w:pPr>
        <w:pStyle w:val="1342"/>
        <w:ind w:firstLine="567"/>
      </w:pPr>
      <w:r>
        <w:rPr>
          <w:b/>
          <w:bCs/>
        </w:rPr>
        <w:t xml:space="preserve">ЕГРИП</w:t>
      </w:r>
      <w:r>
        <w:t xml:space="preserve"> – Единый государственный реестр индивидуальных предпринимателей.</w:t>
      </w:r>
      <w:r/>
    </w:p>
    <w:p>
      <w:pPr>
        <w:pStyle w:val="1342"/>
        <w:ind w:firstLine="567"/>
      </w:pPr>
      <w:r>
        <w:rPr>
          <w:b/>
          <w:bCs/>
        </w:rPr>
        <w:t xml:space="preserve">ЕГРЮЛ</w:t>
      </w:r>
      <w:r>
        <w:t xml:space="preserve"> – Единый государственный реестр юридических лиц.</w:t>
      </w:r>
      <w:r/>
    </w:p>
    <w:p>
      <w:pPr>
        <w:pStyle w:val="1342"/>
        <w:ind w:firstLine="567"/>
      </w:pPr>
      <w:r>
        <w:rPr>
          <w:b/>
          <w:bCs/>
        </w:rPr>
        <w:t xml:space="preserve">ЕИС</w:t>
      </w:r>
      <w:r>
        <w:t xml:space="preserve"> – Единая информационная система в сфере закупок.</w:t>
      </w:r>
      <w:r/>
    </w:p>
    <w:p>
      <w:pPr>
        <w:pStyle w:val="1342"/>
        <w:ind w:firstLine="567"/>
      </w:pPr>
      <w:r>
        <w:rPr>
          <w:b/>
          <w:bCs/>
        </w:rPr>
        <w:t xml:space="preserve">Закон 209-ФЗ</w:t>
      </w:r>
      <w:r>
        <w:t xml:space="preserve"> – Федеральный закон от 24.07.2007 № 209-ФЗ «О развитии малого и среднего предпринимательства в Российской Федерации».</w:t>
      </w:r>
      <w:r/>
    </w:p>
    <w:p>
      <w:pPr>
        <w:pStyle w:val="1342"/>
        <w:ind w:firstLine="567"/>
      </w:pPr>
      <w:r>
        <w:rPr>
          <w:b/>
          <w:bCs/>
        </w:rPr>
        <w:t xml:space="preserve">Закон 223-ФЗ</w:t>
      </w:r>
      <w:r>
        <w:t xml:space="preserve"> – Федеральный закон от 18.07.2011 № 223-ФЗ «О закупках товаров, работ, услуг отдельными видами юридических лиц».</w:t>
      </w:r>
      <w:r/>
    </w:p>
    <w:p>
      <w:pPr>
        <w:pStyle w:val="1342"/>
        <w:ind w:firstLine="567"/>
      </w:pPr>
      <w:r>
        <w:rPr>
          <w:b/>
          <w:bCs/>
        </w:rPr>
        <w:t xml:space="preserve">Закон 255-ФЗ</w:t>
      </w:r>
      <w:r>
        <w:t xml:space="preserve"> – Федеральный закон от 14.07.2022 № 255-ФЗ «О контроле за деятельностью лиц, находящихся под иностранным влиянием».</w:t>
      </w:r>
      <w:r/>
    </w:p>
    <w:p>
      <w:pPr>
        <w:pStyle w:val="1342"/>
        <w:ind w:firstLine="567"/>
      </w:pPr>
      <w:r>
        <w:rPr>
          <w:b/>
          <w:bCs/>
        </w:rPr>
        <w:t xml:space="preserve">Закон 422-ФЗ</w:t>
      </w:r>
      <w:r>
        <w:t xml:space="preserve"> – Федеральный закон от 27.11.2018 № 422-ФЗ «О проведении эксперимента по установлению специального налогового режима «Налог на профессиональный доход».</w:t>
      </w:r>
      <w:r/>
    </w:p>
    <w:p>
      <w:pPr>
        <w:pStyle w:val="1342"/>
        <w:ind w:firstLine="567"/>
      </w:pPr>
      <w:r>
        <w:rPr>
          <w:b/>
          <w:bCs/>
        </w:rPr>
        <w:t xml:space="preserve">Законодательство</w:t>
      </w:r>
      <w:r>
        <w:t xml:space="preserve"> – законодательство Российской Федерации (если в тексте настоящей Документации о закупке прямо не указано иное).</w:t>
      </w:r>
      <w:r/>
    </w:p>
    <w:p>
      <w:pPr>
        <w:pStyle w:val="1342"/>
        <w:ind w:firstLine="567"/>
      </w:pPr>
      <w:r>
        <w:rPr>
          <w:b/>
          <w:bCs/>
        </w:rPr>
        <w:t xml:space="preserve">Извещение</w:t>
      </w:r>
      <w:r>
        <w:t xml:space="preserve"> – извещение о проведении настоящей закупки.</w:t>
      </w:r>
      <w:r/>
    </w:p>
    <w:p>
      <w:pPr>
        <w:pStyle w:val="1342"/>
        <w:ind w:firstLine="567"/>
      </w:pPr>
      <w:r>
        <w:rPr>
          <w:b/>
          <w:bCs/>
        </w:rPr>
        <w:t xml:space="preserve">ИНН</w:t>
      </w:r>
      <w:r>
        <w:t xml:space="preserve"> – идентификационный номер налогоплательщика.</w:t>
      </w:r>
      <w:r/>
    </w:p>
    <w:p>
      <w:pPr>
        <w:pStyle w:val="1342"/>
        <w:ind w:firstLine="567"/>
      </w:pPr>
      <w:r>
        <w:rPr>
          <w:b/>
          <w:bCs/>
        </w:rPr>
        <w:t xml:space="preserve">ИФНС</w:t>
      </w:r>
      <w:r>
        <w:t xml:space="preserve"> – инспекция Федеральной налоговой службы Российской Федерации.</w:t>
      </w:r>
      <w:r/>
    </w:p>
    <w:p>
      <w:pPr>
        <w:pStyle w:val="1342"/>
        <w:ind w:firstLine="567"/>
      </w:pPr>
      <w:r>
        <w:rPr>
          <w:b/>
          <w:bCs/>
        </w:rPr>
        <w:t xml:space="preserve">МТР</w:t>
      </w:r>
      <w:r>
        <w:t xml:space="preserve"> – материально-технические ресурсы.</w:t>
      </w:r>
      <w:r/>
    </w:p>
    <w:p>
      <w:pPr>
        <w:pStyle w:val="1342"/>
        <w:ind w:firstLine="567"/>
      </w:pPr>
      <w:r>
        <w:rPr>
          <w:b/>
          <w:bCs/>
        </w:rPr>
        <w:t xml:space="preserve">НДС</w:t>
      </w:r>
      <w:r>
        <w:t xml:space="preserve"> – налог на добавленную стоимость.</w:t>
      </w:r>
      <w:r/>
    </w:p>
    <w:p>
      <w:pPr>
        <w:pStyle w:val="1342"/>
        <w:ind w:firstLine="567"/>
      </w:pPr>
      <w:r>
        <w:rPr>
          <w:b/>
          <w:bCs/>
        </w:rPr>
        <w:t xml:space="preserve">НМЦ</w:t>
      </w:r>
      <w:r>
        <w:t xml:space="preserve"> – начальная (максимальная) цена договора.</w:t>
      </w:r>
      <w:r/>
    </w:p>
    <w:p>
      <w:pPr>
        <w:pStyle w:val="1342"/>
        <w:ind w:firstLine="567"/>
      </w:pPr>
      <w:r>
        <w:rPr>
          <w:b/>
          <w:bCs/>
        </w:rPr>
        <w:t xml:space="preserve">Оператор ЭП</w:t>
      </w:r>
      <w:r>
        <w:t xml:space="preserve"> – оператор электронной площадки.</w:t>
      </w:r>
      <w:r/>
    </w:p>
    <w:p>
      <w:pPr>
        <w:pStyle w:val="1342"/>
        <w:ind w:firstLine="567"/>
      </w:pPr>
      <w:r>
        <w:rPr>
          <w:b/>
          <w:bCs/>
        </w:rPr>
        <w:t xml:space="preserve">Официальный сайт</w:t>
      </w:r>
      <w:r>
        <w:t xml:space="preserve"> – официальный сайт Единой информационной системы в сфере закупок, расположенный в сети Интернет по </w:t>
      </w:r>
      <w:r>
        <w:rPr>
          <w:lang w:val="en-US"/>
        </w:rPr>
        <w:t xml:space="preserve">URL</w:t>
      </w:r>
      <w:r>
        <w:t xml:space="preserve">-адресу https://zakupki.gov.ru/.</w:t>
      </w:r>
      <w:r/>
    </w:p>
    <w:p>
      <w:pPr>
        <w:pStyle w:val="1342"/>
        <w:ind w:firstLine="567"/>
      </w:pPr>
      <w:r>
        <w:rPr>
          <w:b/>
          <w:bCs/>
        </w:rPr>
        <w:t xml:space="preserve">Положение о закупке</w:t>
      </w:r>
      <w:r>
        <w:t xml:space="preserve"> – Единое Положение о закупке продукции для нужд Группы РусГидро.</w:t>
      </w:r>
      <w:r/>
    </w:p>
    <w:p>
      <w:pPr>
        <w:pStyle w:val="1342"/>
        <w:ind w:firstLine="567"/>
      </w:pPr>
      <w:r>
        <w:rPr>
          <w:b/>
          <w:bCs/>
        </w:rPr>
        <w:t xml:space="preserve">Положение об аккредитации</w:t>
      </w:r>
      <w:r>
        <w:t xml:space="preserve"> – Единое Положение об аккредитации поставщиков продукции в Группе РусГидро, размещенное на Официальном сайте (в составе Положения о закупке).</w:t>
      </w:r>
      <w:r/>
    </w:p>
    <w:p>
      <w:pPr>
        <w:pStyle w:val="1342"/>
        <w:ind w:firstLine="567"/>
      </w:pPr>
      <w:r>
        <w:rPr>
          <w:b/>
          <w:bCs/>
        </w:rPr>
        <w:t xml:space="preserve">ПП 325</w:t>
      </w:r>
      <w:r>
        <w:t xml:space="preserve"> – постановление Правительства Российской Федерации от 23.03.2017 № 325 «Об утверждении дополнительных требований к программам для электронн</w:t>
      </w:r>
      <w:r>
        <w:t xml:space="preserve">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r/>
    </w:p>
    <w:p>
      <w:pPr>
        <w:pStyle w:val="1342"/>
        <w:ind w:firstLine="567"/>
        <w:rPr>
          <w:b/>
          <w:bCs/>
        </w:rPr>
      </w:pPr>
      <w:r>
        <w:rPr>
          <w:b/>
          <w:bCs/>
        </w:rPr>
        <w:t xml:space="preserve">ПП 719</w:t>
      </w:r>
      <w:r>
        <w:t xml:space="preserve"> – постановление Правительства Российской Федерации от 17.07. 2014 № 719 «О подтверждении производства российской промышленной продукции».</w:t>
      </w:r>
      <w:r>
        <w:rPr>
          <w:b/>
          <w:bCs/>
        </w:rPr>
      </w:r>
      <w:r>
        <w:rPr>
          <w:b/>
          <w:bCs/>
        </w:rPr>
      </w:r>
    </w:p>
    <w:p>
      <w:pPr>
        <w:pStyle w:val="1342"/>
        <w:ind w:firstLine="567"/>
      </w:pPr>
      <w:r>
        <w:rPr>
          <w:b/>
          <w:bCs/>
        </w:rPr>
        <w:t xml:space="preserve">ПП 1352</w:t>
      </w:r>
      <w:r>
        <w:t xml:space="preserve"> – постановление Правительства Российской Федерации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p>
    <w:p>
      <w:pPr>
        <w:pStyle w:val="1342"/>
        <w:ind w:firstLine="567"/>
      </w:pPr>
      <w:r>
        <w:rPr>
          <w:b/>
          <w:bCs/>
        </w:rPr>
        <w:t xml:space="preserve">ПП 1875</w:t>
      </w:r>
      <w:r>
        <w:t xml:space="preserve"> – постановление Правительства Р</w:t>
      </w:r>
      <w:r>
        <w:t xml:space="preserve">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p>
    <w:p>
      <w:pPr>
        <w:pStyle w:val="1342"/>
        <w:ind w:firstLine="567"/>
      </w:pPr>
      <w:r>
        <w:rPr>
          <w:b/>
          <w:bCs/>
        </w:rPr>
        <w:t xml:space="preserve">Реестр МСП</w:t>
      </w:r>
      <w:r>
        <w:t xml:space="preserve"> – единый реестр субъектов малого и среднего предпринимательства, ведение которого осуществляется в соответствии с Законом 209-ФЗ.</w:t>
      </w:r>
      <w:r/>
    </w:p>
    <w:p>
      <w:pPr>
        <w:pStyle w:val="1342"/>
        <w:ind w:firstLine="567"/>
      </w:pPr>
      <w:r>
        <w:rPr>
          <w:b/>
          <w:bCs/>
        </w:rPr>
        <w:t xml:space="preserve">Система ЭДО</w:t>
      </w:r>
      <w:r>
        <w:rPr>
          <w:rStyle w:val="1307"/>
          <w:b/>
          <w:bCs/>
        </w:rPr>
        <w:footnoteReference w:id="2"/>
      </w:r>
      <w:r>
        <w:t xml:space="preserve"> – информационная система, посредством которой осуществляется обмен информацией в электронной форме между участниками информационного взаимодействия.</w:t>
      </w:r>
      <w:r/>
    </w:p>
    <w:p>
      <w:pPr>
        <w:pStyle w:val="1342"/>
        <w:ind w:firstLine="567"/>
      </w:pPr>
      <w:r>
        <w:rPr>
          <w:b/>
          <w:bCs/>
        </w:rPr>
        <w:t xml:space="preserve">Стороны</w:t>
      </w:r>
      <w:r>
        <w:t xml:space="preserve"> – Организатор, Заказчик и Участники, являющиеся сторонами данной закупки (при совместном упоминании).</w:t>
      </w:r>
      <w:r/>
    </w:p>
    <w:p>
      <w:pPr>
        <w:pStyle w:val="1342"/>
        <w:ind w:firstLine="567"/>
      </w:pPr>
      <w:r>
        <w:rPr>
          <w:b/>
          <w:bCs/>
        </w:rPr>
        <w:t xml:space="preserve">Субъект МСП</w:t>
      </w:r>
      <w:r>
        <w:t xml:space="preserve"> – субъект малого и среднего предпринимательства.</w:t>
      </w:r>
      <w:r/>
    </w:p>
    <w:p>
      <w:pPr>
        <w:pStyle w:val="1342"/>
        <w:ind w:firstLine="567"/>
      </w:pPr>
      <w:r>
        <w:rPr>
          <w:b/>
          <w:bCs/>
        </w:rPr>
        <w:t xml:space="preserve">ЭП</w:t>
      </w:r>
      <w:r>
        <w:t xml:space="preserve"> – электронная площадка.</w:t>
      </w:r>
      <w:r/>
    </w:p>
    <w:p>
      <w:pPr>
        <w:pStyle w:val="1341"/>
        <w:numPr>
          <w:ilvl w:val="0"/>
          <w:numId w:val="0"/>
        </w:numPr>
        <w:ind w:left="0" w:firstLine="0"/>
        <w:outlineLvl w:val="0"/>
      </w:pPr>
      <w:r/>
      <w:bookmarkStart w:id="1" w:name="_Toc230928826"/>
      <w:r>
        <w:t xml:space="preserve">Термины и определения</w:t>
      </w:r>
      <w:bookmarkEnd w:id="1"/>
      <w:r/>
      <w:r/>
    </w:p>
    <w:p>
      <w:pPr>
        <w:pStyle w:val="1342"/>
        <w:ind w:firstLine="567"/>
      </w:pPr>
      <w:r>
        <w:rPr>
          <w:b/>
          <w:bCs/>
        </w:rPr>
        <w:t xml:space="preserve">Аккредитация</w:t>
      </w:r>
      <w:r>
        <w:t xml:space="preserve"> – процедура проверки заявителей (потенциальных поставщиков) на соответствие требованиям в отношении их правоспособности, благонадежности и деловой репутации, с </w:t>
      </w:r>
      <w:r>
        <w:t xml:space="preserve">целью включения их в Реестр аккредитации для обеспечения (в этой части) допуска к участию в закупках, проводимых в Группе РусГидро. Аккредитация проводится с целью защиты интересов Заказчика от действий недобросовестных лиц и неблагонадежных поставщиков пр</w:t>
      </w:r>
      <w:r>
        <w:t xml:space="preserve">одукции при проведении закупочных процедур и выборе Победителя и является проявлением коммерческой осмотрительности Заказчика при заключении договора (-ов) по результатам закупки. Порядок проведения данной процедуры представлен в Положении об аккредитации.</w:t>
      </w:r>
      <w:r/>
    </w:p>
    <w:p>
      <w:pPr>
        <w:pStyle w:val="1342"/>
        <w:ind w:firstLine="567"/>
      </w:pPr>
      <w:r>
        <w:rPr>
          <w:b/>
          <w:bCs/>
        </w:rPr>
        <w:t xml:space="preserve">Актуализация статуса (аккредитации)</w:t>
      </w:r>
      <w:r>
        <w:t xml:space="preserve"> – процедура повторной проверки определенного (конкретного) ранее аккредитованного Поставщика на предмет соответствия его установленным критериям аккредитации (или на</w:t>
      </w:r>
      <w:r>
        <w:t xml:space="preserve">личия оснований, по которым прохождение аккредитации не требуется), с продлением срока действия его аккредитации в случае положительного результата такой проверки; при этом от Поставщика (Участника) не требуется повторное заполнение Заявки на аккредитацию.</w:t>
      </w:r>
      <w:r/>
    </w:p>
    <w:p>
      <w:pPr>
        <w:pStyle w:val="1342"/>
        <w:ind w:firstLine="567"/>
      </w:pPr>
      <w:r>
        <w:rPr>
          <w:b/>
          <w:bCs/>
        </w:rPr>
        <w:t xml:space="preserve">Альтернативное предложение</w:t>
      </w:r>
      <w:r>
        <w:t xml:space="preserve"> – предложение Участника, подаваемое в составе заявки дополнительно к основному и содержащее одно или несколько условий, отличающихся от заявленных в основном предложении.</w:t>
      </w:r>
      <w:r/>
    </w:p>
    <w:p>
      <w:pPr>
        <w:pStyle w:val="1342"/>
        <w:ind w:firstLine="567"/>
      </w:pPr>
      <w:r>
        <w:rPr>
          <w:b/>
          <w:bCs/>
        </w:rPr>
        <w:t xml:space="preserve">Генеральный подрядчик</w:t>
      </w:r>
      <w:r>
        <w:t xml:space="preserve"> – подрядчик, привлекающий к исполнению своих обяз</w:t>
      </w:r>
      <w:r>
        <w:t xml:space="preserve">ательств по договору с Заказчиком третьих лиц (субподрядчиков). Под генеральным подрядчиком и субподрядчиками понимаются соответственно также генеральный исполнитель и соисполнители, генеральный поставщик и субпоставщики, в зависимости от предмета закупки.</w:t>
      </w:r>
      <w:r/>
    </w:p>
    <w:p>
      <w:pPr>
        <w:pStyle w:val="1342"/>
        <w:ind w:firstLine="567"/>
      </w:pPr>
      <w:r>
        <w:rPr>
          <w:b/>
          <w:bCs/>
        </w:rPr>
        <w:t xml:space="preserve">Документация о закупке</w:t>
      </w:r>
      <w:r>
        <w:t xml:space="preserve"> – комплект документов, содержащий всю необходимую согласно законодательству информацию о закупке и условиях ее проведения.</w:t>
      </w:r>
      <w:r/>
    </w:p>
    <w:p>
      <w:pPr>
        <w:pStyle w:val="1342"/>
        <w:ind w:firstLine="567"/>
      </w:pPr>
      <w:r>
        <w:rPr>
          <w:b/>
          <w:bCs/>
        </w:rPr>
        <w:t xml:space="preserve">Единая информационная система в сфере закупок</w:t>
      </w:r>
      <w:r>
        <w:t xml:space="preserve"> – совокупность информации, содержащейся в базах данных, информационных технологий и техничес</w:t>
      </w:r>
      <w:r>
        <w:t xml:space="preserve">ких средств, обеспечивающих формирование, обработку, хранение такой информации, а также ее предоставление в установленном законодательством порядке с использованием сети Интернет посредствам Официального сайта Единой информационной системы в сфере закупок.</w:t>
      </w:r>
      <w:r/>
    </w:p>
    <w:p>
      <w:pPr>
        <w:pStyle w:val="1342"/>
        <w:ind w:firstLine="567"/>
      </w:pPr>
      <w:r>
        <w:rPr>
          <w:b/>
          <w:bCs/>
        </w:rPr>
        <w:t xml:space="preserve">Единый реестр субъектов малого и среднего предпринимательства</w:t>
      </w:r>
      <w:r>
        <w:t xml:space="preserve"> – реестр, являющийся официальным источником сведений о юридических лицах и об индивидуальных предпринимателях</w:t>
      </w:r>
      <w:r>
        <w:t xml:space="preserve">, отнесенных по законодательству к таковым, и размещенный в сети Интернет на официальном сайте федерального органа исполнительной власти Российской Федерации, осуществляющего функции по контролю и надзору за соблюдением законодательства о налогах и сборах.</w:t>
      </w:r>
      <w:r/>
    </w:p>
    <w:p>
      <w:pPr>
        <w:pStyle w:val="1342"/>
        <w:ind w:firstLine="567"/>
      </w:pPr>
      <w:r>
        <w:rPr>
          <w:b/>
          <w:bCs/>
        </w:rPr>
        <w:t xml:space="preserve">Заказчик</w:t>
      </w:r>
      <w:r>
        <w:t xml:space="preserve"> – юридическое лицо, в интересах и за счет средств, которого осуществляется закупка.</w:t>
      </w:r>
      <w:r/>
    </w:p>
    <w:p>
      <w:pPr>
        <w:pStyle w:val="1342"/>
        <w:ind w:firstLine="567"/>
      </w:pPr>
      <w:r>
        <w:rPr>
          <w:b/>
          <w:bCs/>
        </w:rPr>
        <w:t xml:space="preserve">Закупка</w:t>
      </w:r>
      <w:r>
        <w:t xml:space="preserve"> – последовательность действий, осуществляемая в соответствии с требованиями законодательства, Положением о закупке, иными локальными нормативными документами (актами) Заказчика, а для конкурентно</w:t>
      </w:r>
      <w:r>
        <w:t xml:space="preserve">й закупки (и неконкурентной, проводимой способом состязательный отбор) дополнительно – правилами, установленными Извещением и Документацией о закупке, в результате которой производится выбор поставщика с целью заключения договора на приобретение продукции.</w:t>
      </w:r>
      <w:r/>
    </w:p>
    <w:p>
      <w:pPr>
        <w:pStyle w:val="1342"/>
        <w:ind w:firstLine="567"/>
      </w:pPr>
      <w:r>
        <w:rPr>
          <w:b/>
          <w:bCs/>
        </w:rPr>
        <w:t xml:space="preserve">Закупочная комиссия</w:t>
      </w:r>
      <w:r>
        <w:t xml:space="preserve"> – коллегиальный орган, принимающий решения о ходе проведения соответствующей закупки (в том числе по выбору ее победителя).</w:t>
      </w:r>
      <w:r/>
    </w:p>
    <w:p>
      <w:pPr>
        <w:pStyle w:val="1342"/>
        <w:ind w:firstLine="567"/>
      </w:pPr>
      <w:r>
        <w:rPr>
          <w:b/>
          <w:bCs/>
        </w:rPr>
        <w:t xml:space="preserve">Заявка (заявка на участие в закупке)</w:t>
      </w:r>
      <w:r>
        <w:t xml:space="preserve"> – документ (комплект документов), содержащий предложения Участника, </w:t>
      </w:r>
      <w:r>
        <w:t xml:space="preserve">направленный Организатору с намерением принять участие в процедурах соответствующей закупки и впоследствии заключить договор на поставку продукции на условиях, определенных Заказчиком: для конкурентных закупок – в Извещении и (или) Документацией о закупке.</w:t>
      </w:r>
      <w:r/>
    </w:p>
    <w:p>
      <w:pPr>
        <w:pStyle w:val="1342"/>
        <w:ind w:firstLine="567"/>
      </w:pPr>
      <w:r>
        <w:rPr>
          <w:b/>
          <w:bCs/>
        </w:rPr>
        <w:t xml:space="preserve">Заявка на аккредитацию</w:t>
      </w:r>
      <w:r>
        <w:t xml:space="preserve"> – сведения, которые Заявитель предоставляет в установленном Положением об аккредитации порядке для прохождения аккредитации.</w:t>
      </w:r>
      <w:r/>
    </w:p>
    <w:p>
      <w:pPr>
        <w:pStyle w:val="1342"/>
        <w:ind w:firstLine="567"/>
        <w:rPr>
          <w:szCs w:val="26"/>
        </w:rPr>
      </w:pPr>
      <w:r>
        <w:rPr>
          <w:b/>
          <w:bCs/>
        </w:rPr>
        <w:t xml:space="preserve">Извещение о закупке (Извещение)</w:t>
      </w:r>
      <w:r>
        <w:t xml:space="preserve"> – документ, предназначенный для потенциальных Участников, публикация (размещение) которого означает официальное объявление о начале закупки (информация в объеме, определенном частью 9 статьи 4 Зако</w:t>
      </w:r>
      <w:r>
        <w:t xml:space="preserve">на 223-ФЗ и Положением о закупке); под данным документом и соответственно его размещением также подразумевается заполнение и создание на Официальном сайте (ЕИС) и (или) ЭП соответствующей страницы на указанных ресурсах с информацией об объявленной закупке.</w:t>
      </w:r>
      <w:r>
        <w:rPr>
          <w:szCs w:val="26"/>
        </w:rPr>
      </w:r>
      <w:r>
        <w:rPr>
          <w:szCs w:val="26"/>
        </w:rPr>
      </w:r>
    </w:p>
    <w:p>
      <w:pPr>
        <w:pStyle w:val="1342"/>
        <w:ind w:firstLine="567"/>
      </w:pPr>
      <w:r>
        <w:rPr>
          <w:b/>
          <w:bCs/>
        </w:rPr>
        <w:t xml:space="preserve">Интеллектуальные системы управления электросетевым хозяйством</w:t>
      </w:r>
      <w:r>
        <w:t xml:space="preserve"> – системы удален</w:t>
      </w:r>
      <w:r>
        <w:t xml:space="preserve">ного мониторинга и диагностики, интеллектуальные системы учета электрической энергии (мощности), автоматизированные системы управления технологическими процессами подстанций, автоматизированные системы технологического управления центров управления сетями.</w:t>
      </w:r>
      <w:r/>
    </w:p>
    <w:p>
      <w:pPr>
        <w:pStyle w:val="1342"/>
        <w:ind w:firstLine="567"/>
      </w:pPr>
      <w:r>
        <w:rPr>
          <w:b/>
          <w:bCs/>
        </w:rPr>
        <w:t xml:space="preserve">Коллективный участник</w:t>
      </w:r>
      <w:r>
        <w:t xml:space="preserve"> – объединение </w:t>
      </w:r>
      <w:r>
        <w:t xml:space="preserve">юридических и (или) физических лиц,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r/>
    </w:p>
    <w:p>
      <w:pPr>
        <w:pStyle w:val="1342"/>
        <w:ind w:firstLine="567"/>
      </w:pPr>
      <w:r>
        <w:rPr>
          <w:b/>
          <w:bCs/>
        </w:rPr>
        <w:t xml:space="preserve">Лот</w:t>
      </w:r>
      <w:r>
        <w:t xml:space="preserve"> – продукция, на которую в рамках закупки допускаются подача отдельного предложения и заключение отдельного договора.</w:t>
      </w:r>
      <w:r/>
    </w:p>
    <w:p>
      <w:pPr>
        <w:pStyle w:val="1342"/>
        <w:ind w:firstLine="567"/>
      </w:pPr>
      <w:r>
        <w:rPr>
          <w:b/>
          <w:bCs/>
        </w:rPr>
        <w:t xml:space="preserve">Мониторинг аккредитованных поставщиков</w:t>
      </w:r>
      <w:r>
        <w:t xml:space="preserve"> – процедура выборочной повторной проверки любого ранее аккредитованного Поставщика на предмет соответствия его установленным критериям аккредитации (или нал</w:t>
      </w:r>
      <w:r>
        <w:t xml:space="preserve">ичия оснований, по которым прохождение аккредитации не требуется), без продления срока действия его аккредитации в случае положительного результата такой проверки; при этом от Поставщика (Участника) не требуется повторное заполнение Заявки на аккредитацию.</w:t>
      </w:r>
      <w:r/>
    </w:p>
    <w:p>
      <w:pPr>
        <w:pStyle w:val="1342"/>
        <w:ind w:firstLine="567"/>
      </w:pPr>
      <w:r>
        <w:rPr>
          <w:b/>
          <w:bCs/>
        </w:rPr>
        <w:t xml:space="preserve">Начальная (максимальная) цена договора</w:t>
      </w:r>
      <w:r>
        <w:t xml:space="preserve"> – предельно допустимая цена договора (лота, единицы продукции), превышение которой исключает возможность заключения договора / недопустимо для заключения договора по итогам проведения закупки.</w:t>
      </w:r>
      <w:r/>
    </w:p>
    <w:p>
      <w:pPr>
        <w:pStyle w:val="1342"/>
        <w:ind w:firstLine="567"/>
      </w:pPr>
      <w:r>
        <w:rPr>
          <w:b/>
          <w:bCs/>
        </w:rPr>
        <w:t xml:space="preserve">Оператор электронной площадки</w:t>
      </w:r>
      <w:r>
        <w:t xml:space="preserve"> – юридическое лицо, соответствующее требованиям законодательства, владеющее электронной площадкой и обеспечивающее проведение закупок в электронной форме в соответствии с положениями законодательства.</w:t>
      </w:r>
      <w:r/>
    </w:p>
    <w:p>
      <w:pPr>
        <w:pStyle w:val="1342"/>
        <w:ind w:firstLine="567"/>
      </w:pPr>
      <w:r>
        <w:rPr>
          <w:b/>
          <w:bCs/>
        </w:rPr>
        <w:t xml:space="preserve">Организатор</w:t>
      </w:r>
      <w:r>
        <w:t xml:space="preserve"> – Заказчик или действующее по договору с ним юридическое лицо, выступающее Сторонним организатором закупки.</w:t>
      </w:r>
      <w:r/>
    </w:p>
    <w:p>
      <w:pPr>
        <w:pStyle w:val="1342"/>
        <w:ind w:firstLine="567"/>
      </w:pPr>
      <w:r>
        <w:rPr>
          <w:b/>
          <w:bCs/>
        </w:rPr>
        <w:t xml:space="preserve">Официальное размещение</w:t>
      </w:r>
      <w:r>
        <w:t xml:space="preserve"> – размещение информации о закупке в ЕИС, на</w:t>
      </w:r>
      <w:r>
        <w:rPr>
          <w:lang w:val="en-US"/>
        </w:rPr>
        <w:t xml:space="preserve"> </w:t>
      </w:r>
      <w:r>
        <w:t xml:space="preserve">Официальном сайте (с размещением копий на ЭП). Если окончание срока размещения приходится на нерабочий день согласно законодательству, сведения размещаются в первый рабочий день, следующий за нерабочими днями.</w:t>
      </w:r>
      <w:r/>
    </w:p>
    <w:p>
      <w:pPr>
        <w:pStyle w:val="1342"/>
        <w:ind w:firstLine="567"/>
      </w:pPr>
      <w:r>
        <w:rPr>
          <w:b/>
          <w:bCs/>
        </w:rPr>
        <w:t xml:space="preserve">Переторжка</w:t>
      </w:r>
      <w:r>
        <w:t xml:space="preserve"> – опциональный этап закупки, представляющий собой процедуру подачи Участниками дополнительных предложений с целью повысить их предпочтительность для Заказчика.</w:t>
      </w:r>
      <w:r/>
    </w:p>
    <w:p>
      <w:pPr>
        <w:pStyle w:val="1342"/>
        <w:ind w:firstLine="567"/>
        <w:rPr>
          <w:szCs w:val="26"/>
        </w:rPr>
      </w:pPr>
      <w:r>
        <w:rPr>
          <w:b/>
          <w:bCs/>
          <w:szCs w:val="26"/>
        </w:rPr>
        <w:t xml:space="preserve">Победитель</w:t>
      </w:r>
      <w:r>
        <w:rPr>
          <w:szCs w:val="26"/>
        </w:rPr>
        <w:t xml:space="preserve"> – Участник, заявка которого соответствует требованиям Документации о закупке и который предложил лучшие условия исполнения договора на основании критериев оценки в соответствии с Документацией о закупке. В </w:t>
      </w:r>
      <w:r>
        <w:rPr>
          <w:szCs w:val="26"/>
        </w:rPr>
        <w:t xml:space="preserve">случае признания закупки несостоявшейся Единственный участник такой закупки, с которым Заказчик принял решение заключить договор по результатам закупки, в оговоренных Положением о закупке случаях приобретает обязательства Победителя по заключению договора.</w:t>
      </w:r>
      <w:r>
        <w:rPr>
          <w:szCs w:val="26"/>
        </w:rPr>
      </w:r>
      <w:r>
        <w:rPr>
          <w:szCs w:val="26"/>
        </w:rPr>
      </w:r>
    </w:p>
    <w:p>
      <w:pPr>
        <w:pStyle w:val="1342"/>
        <w:ind w:firstLine="567"/>
      </w:pPr>
      <w:r>
        <w:rPr>
          <w:b/>
          <w:bCs/>
        </w:rPr>
        <w:t xml:space="preserve">Поставщик</w:t>
      </w:r>
      <w:r>
        <w:t xml:space="preserve"> – любое юридическое или физическое лицо, а также объединение этих лиц, способное на законных основаниях поставить Заказчику требуемую продукцию. Под поставщиком продукции при закупке работ / услуг понимается соответственно подрядчик / исполнитель.</w:t>
      </w:r>
      <w:r/>
    </w:p>
    <w:p>
      <w:pPr>
        <w:pStyle w:val="1342"/>
        <w:ind w:firstLine="567"/>
      </w:pPr>
      <w:r>
        <w:rPr>
          <w:b/>
          <w:bCs/>
        </w:rPr>
        <w:t xml:space="preserve">Постквалификация</w:t>
      </w:r>
      <w:r>
        <w:t xml:space="preserve"> – процедура дополнительной проверки Участника перед выбором его Победителем на подтверждения его соответствия квалификационным требованиям, установленным в Документации о закупке.</w:t>
      </w:r>
      <w:r/>
    </w:p>
    <w:p>
      <w:pPr>
        <w:pStyle w:val="1342"/>
        <w:ind w:firstLine="567"/>
      </w:pPr>
      <w:r>
        <w:rPr>
          <w:b/>
          <w:bCs/>
        </w:rPr>
        <w:t xml:space="preserve">Предмет закупки / предмет договора</w:t>
      </w:r>
      <w:r>
        <w:t xml:space="preserve"> – конкретная продукция, которую предполагается закупить в объеме и на условиях, определенных Заказчиком.</w:t>
      </w:r>
      <w:r/>
    </w:p>
    <w:p>
      <w:pPr>
        <w:pStyle w:val="1342"/>
        <w:ind w:firstLine="567"/>
      </w:pPr>
      <w:r>
        <w:rPr>
          <w:b/>
          <w:bCs/>
        </w:rPr>
        <w:t xml:space="preserve">Применение законодательства о национальном режиме</w:t>
      </w:r>
      <w:r>
        <w:t xml:space="preserve"> – обеспечение (либо необеспечение) происходящему из иностранного государства или группы иностранных государств товару, работе, услуге, соответственно выполняемой, оказываемой иностранным гражданином или </w:t>
      </w:r>
      <w:r>
        <w:t xml:space="preserve">иностранным юридическим лицом, равных условий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в соответствии с нормами, установленными законодательством.</w:t>
      </w:r>
      <w:r/>
    </w:p>
    <w:p>
      <w:pPr>
        <w:pStyle w:val="1342"/>
        <w:ind w:firstLine="567"/>
      </w:pPr>
      <w:r>
        <w:rPr>
          <w:b/>
          <w:bCs/>
        </w:rPr>
        <w:t xml:space="preserve">Программное обеспечение</w:t>
      </w:r>
      <w:r>
        <w:t xml:space="preserve"> – программное обеспечение, включенное в единый реестр Минцифры России российских программ для электронных вычислительных машин и баз данных, используемое в качестве компонента интеллектуальных систем управления электросетевым хозяйством.</w:t>
      </w:r>
      <w:r/>
    </w:p>
    <w:p>
      <w:pPr>
        <w:pStyle w:val="1342"/>
        <w:ind w:firstLine="567"/>
      </w:pPr>
      <w:r>
        <w:rPr>
          <w:b/>
          <w:bCs/>
        </w:rPr>
        <w:t xml:space="preserve">Продукция</w:t>
      </w:r>
      <w:r>
        <w:t xml:space="preserve"> – товары, работы, услуги, приобретаемые Заказчиком на возмездной основе; в том числе в контексте «поставка продукции»: поставка товаров, выполнение работ, оказание услуг.</w:t>
      </w:r>
      <w:r/>
    </w:p>
    <w:p>
      <w:pPr>
        <w:pStyle w:val="1342"/>
        <w:ind w:firstLine="567"/>
      </w:pPr>
      <w:r>
        <w:rPr>
          <w:b/>
          <w:bCs/>
        </w:rPr>
        <w:t xml:space="preserve">Реестр аккредитации</w:t>
      </w:r>
      <w:r>
        <w:t xml:space="preserve"> – перечень лиц – Заявителей, подававших Заявки на аккредитацию с указанием в отношении них результатов процедуры аккредитации.</w:t>
      </w:r>
      <w:r/>
    </w:p>
    <w:p>
      <w:pPr>
        <w:pStyle w:val="1342"/>
        <w:ind w:firstLine="567"/>
      </w:pPr>
      <w:r>
        <w:rPr>
          <w:b/>
          <w:bCs/>
        </w:rPr>
        <w:t xml:space="preserve">Субъект малого и среднего предпринимательства</w:t>
      </w:r>
      <w:r>
        <w:t xml:space="preserve"> – определяется в соответствии с Законом 20</w:t>
      </w:r>
      <w:r>
        <w:t xml:space="preserve">9-ФЗ. Все условия и требования данной Документации о закупке, относящиеся к субъектам МСП, распространяются также на физических лиц, не являющихся индивидуальными предпринимателями и применяющих специальный налоговый режим «Налог на профессиональный доход»</w:t>
      </w:r>
      <w:r>
        <w:rPr>
          <w:rStyle w:val="1307"/>
        </w:rPr>
        <w:footnoteReference w:id="3"/>
      </w:r>
      <w:r>
        <w:t xml:space="preserve">, если иное не установлено в Документации о закупке.</w:t>
      </w:r>
      <w:r/>
    </w:p>
    <w:p>
      <w:pPr>
        <w:pStyle w:val="1342"/>
        <w:ind w:firstLine="567"/>
      </w:pPr>
      <w:r>
        <w:rPr>
          <w:b/>
          <w:bCs/>
        </w:rPr>
        <w:t xml:space="preserve">Уполномоченное лицо</w:t>
      </w:r>
      <w: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w:t>
      </w:r>
      <w:r>
        <w:rPr>
          <w:rFonts w:eastAsia="Calibri" w:cs="Times New Roman"/>
          <w:shd w:val="clear" w:color="auto" w:fill="ffffff"/>
        </w:rPr>
        <w:t xml:space="preserve">в том числе выданной в порядке передоверия,</w:t>
      </w:r>
      <w:r>
        <w:t xml:space="preserve"> от имени организации, полномочия которых подтверждены соответствующими документами.</w:t>
      </w:r>
      <w:r/>
    </w:p>
    <w:p>
      <w:pPr>
        <w:pStyle w:val="1342"/>
        <w:ind w:firstLine="567"/>
      </w:pPr>
      <w:r>
        <w:rPr>
          <w:b/>
          <w:bCs/>
        </w:rPr>
        <w:t xml:space="preserve">Участник</w:t>
      </w:r>
      <w:r>
        <w:t xml:space="preserve"> – любое юридическое лицо или несколько юридических лиц, выступающих на стороне одного участника закупки, независимо от </w:t>
      </w:r>
      <w:r>
        <w:t xml:space="preserve">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Законом 255-ФЗ), либо любое физическое лицо или несколько физических лиц</w:t>
      </w:r>
      <w:r>
        <w:t xml:space="preserve">,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w:t>
      </w:r>
      <w:r>
        <w:t xml:space="preserve"> соответствии с Законом 255-ФЗ), выразившее заинтересованность в участии в закупке (посредством получения Документации о закупке, направления запроса о разъяснении Документации о закупке, внесения обеспечения заявки или подачи заявки на участие в закупке).</w:t>
      </w:r>
      <w:r/>
    </w:p>
    <w:p>
      <w:pPr>
        <w:pStyle w:val="1336"/>
        <w:spacing w:before="0" w:after="0"/>
      </w:pPr>
      <w:r/>
      <w:bookmarkStart w:id="2" w:name="_Toc230928827"/>
      <w:r/>
      <w:bookmarkStart w:id="3" w:name="_Ref125359988"/>
      <w:r>
        <w:t xml:space="preserve">Основные сведения о закупке</w:t>
      </w:r>
      <w:bookmarkEnd w:id="2"/>
      <w:r/>
      <w:bookmarkEnd w:id="3"/>
      <w:r/>
      <w:r/>
    </w:p>
    <w:p>
      <w:pPr>
        <w:pStyle w:val="1337"/>
        <w:spacing w:before="360" w:after="0"/>
      </w:pPr>
      <w:r/>
      <w:bookmarkStart w:id="4" w:name="_Toc230928828"/>
      <w:r>
        <w:t xml:space="preserve">Статус настоящего раздела</w:t>
      </w:r>
      <w:bookmarkEnd w:id="4"/>
      <w:r/>
      <w:r/>
    </w:p>
    <w:p>
      <w:pPr>
        <w:pStyle w:val="1338"/>
        <w:spacing w:before="120" w:after="0"/>
      </w:pPr>
      <w:r>
        <w:t xml:space="preserve">В настоящем разделе содержатся основные сведения о предмете, способе и иных ключевых условиях проводимой закупки.</w:t>
      </w:r>
      <w:r/>
    </w:p>
    <w:p>
      <w:pPr>
        <w:pStyle w:val="1338"/>
        <w:spacing w:before="0" w:after="0"/>
      </w:pPr>
      <w:r>
        <w:t xml:space="preserve">Здесь и далее все используемые ссылки относятся к соответств</w:t>
      </w:r>
      <w:r>
        <w:t xml:space="preserve">ующим пунктам, разделам и подразделам Документации о закупке, если прямо не указано иное; ссылки на приложения относятся к соответствующим приложениям к Документации о закупке, если прямо не указано иное. Ссылки на статьи, пункты и разделы, используемые в </w:t>
      </w:r>
      <w:hyperlink w:tooltip="#Прил01_ТехТребования" w:anchor="Прил01_ТехТребования" w:history="1">
        <w:r>
          <w:rPr>
            <w:rStyle w:val="1311"/>
          </w:rPr>
          <w:t xml:space="preserve">Технических требованиях (Приложение № 1)</w:t>
        </w:r>
      </w:hyperlink>
      <w:r>
        <w:rPr>
          <w:rStyle w:val="1311"/>
        </w:rPr>
        <w:t xml:space="preserve">,</w:t>
      </w:r>
      <w:r>
        <w:t xml:space="preserve"> в </w:t>
      </w:r>
      <w:hyperlink w:tooltip="#Прил02_ПроектДоговора" w:anchor="Прил02_ПроектДоговора" w:history="1">
        <w:r>
          <w:rPr>
            <w:rStyle w:val="1311"/>
          </w:rPr>
          <w:t xml:space="preserve">Проекте договора (Приложение № 2)</w:t>
        </w:r>
      </w:hyperlink>
      <w:r>
        <w:t xml:space="preserve"> и иных приложениях к Документации о закупке, относятся соответственно к статьям, пунктам и разделам этих приложений к Документации о закупке. Все приложения к Документации о закупке являются ее неотъемлемыми частями.</w:t>
      </w:r>
      <w:r/>
    </w:p>
    <w:p>
      <w:pPr>
        <w:pStyle w:val="1338"/>
        <w:spacing w:before="0" w:after="0"/>
      </w:pPr>
      <w:r/>
      <w:bookmarkStart w:id="5" w:name="_Ref136768031"/>
      <w:r>
        <w:t xml:space="preserve">Информация о проводимой закупке, указанная в подразделе </w:t>
      </w:r>
      <w:r>
        <w:fldChar w:fldCharType="begin"/>
      </w:r>
      <w:r>
        <w:instrText xml:space="preserve"> REF _Ref125359973 \r \h </w:instrText>
      </w:r>
      <w:r>
        <w:fldChar w:fldCharType="separate"/>
      </w:r>
      <w:r>
        <w:t xml:space="preserve">1.2</w:t>
      </w:r>
      <w:r>
        <w:fldChar w:fldCharType="end"/>
      </w:r>
      <w:r>
        <w:t xml:space="preserve">, в объеме, определенном частью 9 статьи 4 Закона 223-ФЗ, составляет Извещение о закупке.</w:t>
      </w:r>
      <w:bookmarkEnd w:id="5"/>
      <w:r/>
      <w:r/>
    </w:p>
    <w:p>
      <w:pPr>
        <w:pStyle w:val="1337"/>
        <w:spacing w:before="360" w:after="120"/>
      </w:pPr>
      <w:r/>
      <w:bookmarkStart w:id="6" w:name="_Toc230928829"/>
      <w:r/>
      <w:bookmarkStart w:id="7" w:name="_Ref127270076"/>
      <w:r/>
      <w:bookmarkStart w:id="8" w:name="_Ref125359973"/>
      <w:r>
        <w:t xml:space="preserve">Информация о проводимой закупке</w:t>
      </w:r>
      <w:bookmarkEnd w:id="6"/>
      <w:r/>
      <w:bookmarkEnd w:id="7"/>
      <w:r/>
      <w:bookmarkEnd w:id="8"/>
      <w:r/>
      <w:r/>
    </w:p>
    <w:tbl>
      <w:tblPr>
        <w:tblStyle w:val="1505"/>
        <w:tblW w:w="9754" w:type="dxa"/>
        <w:tblInd w:w="0" w:type="dxa"/>
        <w:tblLayout w:type="fixed"/>
        <w:tblCellMar>
          <w:left w:w="57" w:type="dxa"/>
          <w:top w:w="0" w:type="dxa"/>
          <w:right w:w="57" w:type="dxa"/>
          <w:bottom w:w="0" w:type="dxa"/>
        </w:tblCellMar>
        <w:tblLook w:val="04A0" w:firstRow="1" w:lastRow="0" w:firstColumn="1" w:lastColumn="0" w:noHBand="0" w:noVBand="1"/>
      </w:tblPr>
      <w:tblGrid>
        <w:gridCol w:w="837"/>
        <w:gridCol w:w="3273"/>
        <w:gridCol w:w="5644"/>
      </w:tblGrid>
      <w:tr>
        <w:tblPrEx/>
        <w:trPr/>
        <w:tc>
          <w:tcPr>
            <w:tcW w:w="837" w:type="dxa"/>
            <w:textDirection w:val="lrTb"/>
            <w:noWrap w:val="false"/>
          </w:tcPr>
          <w:p>
            <w:pPr>
              <w:pStyle w:val="1342"/>
              <w:jc w:val="center"/>
              <w:keepLines w:val="0"/>
              <w:keepNext/>
              <w:spacing w:before="60" w:after="60" w:line="240" w:lineRule="auto"/>
              <w:widowControl w:val="off"/>
              <w:rPr>
                <w:rFonts w:ascii="Times New Roman" w:hAnsi="Times New Roman" w:eastAsia="Calibri" w:cs="Arial"/>
                <w:b/>
                <w:sz w:val="26"/>
                <w:szCs w:val="22"/>
                <w:lang w:val="ru-RU" w:eastAsia="en-US" w:bidi="ar-SA"/>
              </w:rPr>
            </w:pPr>
            <w:r>
              <w:rPr>
                <w:rFonts w:eastAsia="Calibri" w:cs="Arial"/>
                <w:b/>
                <w:sz w:val="26"/>
                <w:szCs w:val="22"/>
                <w:lang w:val="ru-RU" w:eastAsia="en-US" w:bidi="ar-SA"/>
              </w:rPr>
              <w:t xml:space="preserve">№</w:t>
            </w:r>
            <w:r>
              <w:rPr>
                <w:rFonts w:eastAsia="Calibri" w:cs="Arial"/>
                <w:b/>
                <w:sz w:val="26"/>
                <w:szCs w:val="22"/>
                <w:lang w:val="ru-RU" w:eastAsia="en-US" w:bidi="ar-SA"/>
              </w:rPr>
              <w:br/>
              <w:t xml:space="preserve">п/п</w:t>
            </w:r>
            <w:r>
              <w:rPr>
                <w:rFonts w:ascii="Times New Roman" w:hAnsi="Times New Roman" w:eastAsia="Calibri" w:cs="Arial"/>
                <w:b/>
                <w:sz w:val="26"/>
                <w:szCs w:val="22"/>
                <w:lang w:val="ru-RU" w:eastAsia="en-US" w:bidi="ar-SA"/>
              </w:rPr>
            </w:r>
            <w:r>
              <w:rPr>
                <w:rFonts w:ascii="Times New Roman" w:hAnsi="Times New Roman" w:eastAsia="Calibri" w:cs="Arial"/>
                <w:b/>
                <w:sz w:val="26"/>
                <w:szCs w:val="22"/>
                <w:lang w:val="ru-RU" w:eastAsia="en-US" w:bidi="ar-SA"/>
              </w:rPr>
            </w:r>
          </w:p>
        </w:tc>
        <w:tc>
          <w:tcPr>
            <w:tcW w:w="3273" w:type="dxa"/>
            <w:textDirection w:val="lrTb"/>
            <w:noWrap w:val="false"/>
          </w:tcPr>
          <w:p>
            <w:pPr>
              <w:pStyle w:val="1342"/>
              <w:jc w:val="center"/>
              <w:keepLines w:val="0"/>
              <w:keepNext/>
              <w:spacing w:before="60" w:after="60" w:line="240" w:lineRule="auto"/>
              <w:widowControl w:val="off"/>
              <w:rPr>
                <w:rFonts w:ascii="Times New Roman" w:hAnsi="Times New Roman" w:eastAsia="Calibri" w:cs="Arial"/>
                <w:b/>
                <w:sz w:val="26"/>
                <w:szCs w:val="22"/>
                <w:lang w:val="ru-RU" w:eastAsia="en-US" w:bidi="ar-SA"/>
              </w:rPr>
            </w:pPr>
            <w:r>
              <w:rPr>
                <w:rFonts w:eastAsia="Calibri" w:cs="Arial"/>
                <w:b/>
                <w:sz w:val="26"/>
                <w:szCs w:val="22"/>
                <w:lang w:val="ru-RU" w:eastAsia="en-US" w:bidi="ar-SA"/>
              </w:rPr>
              <w:t xml:space="preserve">Наименование пункта</w:t>
            </w:r>
            <w:r>
              <w:rPr>
                <w:rFonts w:ascii="Times New Roman" w:hAnsi="Times New Roman" w:eastAsia="Calibri" w:cs="Arial"/>
                <w:b/>
                <w:sz w:val="26"/>
                <w:szCs w:val="22"/>
                <w:lang w:val="ru-RU" w:eastAsia="en-US" w:bidi="ar-SA"/>
              </w:rPr>
            </w:r>
            <w:r>
              <w:rPr>
                <w:rFonts w:ascii="Times New Roman" w:hAnsi="Times New Roman" w:eastAsia="Calibri" w:cs="Arial"/>
                <w:b/>
                <w:sz w:val="26"/>
                <w:szCs w:val="22"/>
                <w:lang w:val="ru-RU" w:eastAsia="en-US" w:bidi="ar-SA"/>
              </w:rPr>
            </w:r>
          </w:p>
        </w:tc>
        <w:tc>
          <w:tcPr>
            <w:tcW w:w="5644" w:type="dxa"/>
            <w:textDirection w:val="lrTb"/>
            <w:noWrap w:val="false"/>
          </w:tcPr>
          <w:p>
            <w:pPr>
              <w:pStyle w:val="1342"/>
              <w:jc w:val="center"/>
              <w:keepLines w:val="0"/>
              <w:keepNext/>
              <w:spacing w:before="60" w:after="60" w:line="240" w:lineRule="auto"/>
              <w:widowControl w:val="off"/>
              <w:rPr>
                <w:rFonts w:ascii="Times New Roman" w:hAnsi="Times New Roman" w:eastAsia="Calibri" w:cs="Arial"/>
                <w:b/>
                <w:sz w:val="26"/>
                <w:szCs w:val="22"/>
                <w:lang w:val="ru-RU" w:eastAsia="en-US" w:bidi="ar-SA"/>
              </w:rPr>
            </w:pPr>
            <w:r>
              <w:rPr>
                <w:rFonts w:eastAsia="Calibri" w:cs="Arial"/>
                <w:b/>
                <w:sz w:val="26"/>
                <w:szCs w:val="22"/>
                <w:lang w:val="ru-RU" w:eastAsia="en-US" w:bidi="ar-SA"/>
              </w:rPr>
              <w:t xml:space="preserve">Содержание пункта</w:t>
            </w:r>
            <w:r>
              <w:rPr>
                <w:rFonts w:ascii="Times New Roman" w:hAnsi="Times New Roman" w:eastAsia="Calibri" w:cs="Arial"/>
                <w:b/>
                <w:sz w:val="26"/>
                <w:szCs w:val="22"/>
                <w:lang w:val="ru-RU" w:eastAsia="en-US" w:bidi="ar-SA"/>
              </w:rPr>
            </w:r>
            <w:r>
              <w:rPr>
                <w:rFonts w:ascii="Times New Roman" w:hAnsi="Times New Roman" w:eastAsia="Calibri" w:cs="Arial"/>
                <w:b/>
                <w:sz w:val="26"/>
                <w:szCs w:val="22"/>
                <w:lang w:val="ru-RU" w:eastAsia="en-US" w:bidi="ar-SA"/>
              </w:rPr>
            </w:r>
          </w:p>
        </w:tc>
      </w:tr>
      <w:tr>
        <w:tblPrEx/>
        <w:trPr/>
        <w:tc>
          <w:tcPr>
            <w:tcW w:w="837" w:type="dxa"/>
            <w:textDirection w:val="lrTb"/>
            <w:noWrap w:val="false"/>
          </w:tcPr>
          <w:p>
            <w:pPr>
              <w:pStyle w:val="1338"/>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r>
            <w:bookmarkStart w:id="10" w:name="_Ref125360980"/>
            <w:r/>
            <w:bookmarkEnd w:id="10"/>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3273" w:type="dxa"/>
            <w:textDirection w:val="lrTb"/>
            <w:noWrap w:val="false"/>
          </w:tcPr>
          <w:p>
            <w:pPr>
              <w:pStyle w:val="1342"/>
              <w:jc w:val="left"/>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Способ закупки:</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5644" w:type="dxa"/>
            <w:textDirection w:val="lrTb"/>
            <w:noWrap w:val="false"/>
          </w:tcPr>
          <w:p>
            <w:pPr>
              <w:pStyle w:val="1342"/>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Конкурс в электронной форме.</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r>
      <w:tr>
        <w:tblPrEx/>
        <w:trPr/>
        <w:tc>
          <w:tcPr>
            <w:tcW w:w="837" w:type="dxa"/>
            <w:textDirection w:val="lrTb"/>
            <w:noWrap w:val="false"/>
          </w:tcPr>
          <w:p>
            <w:pPr>
              <w:pStyle w:val="1338"/>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r>
            <w:bookmarkStart w:id="12" w:name="_Ref125360996"/>
            <w:r/>
            <w:bookmarkEnd w:id="12"/>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3273" w:type="dxa"/>
            <w:textDirection w:val="lrTb"/>
            <w:noWrap w:val="false"/>
          </w:tcPr>
          <w:p>
            <w:pPr>
              <w:pStyle w:val="1342"/>
              <w:jc w:val="left"/>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Предмет Договора</w:t>
              <w:br/>
              <w:t xml:space="preserve">(в том числе номер лота):</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5644" w:type="dxa"/>
            <w:textDirection w:val="lrTb"/>
            <w:noWrap w:val="false"/>
          </w:tcPr>
          <w:p>
            <w:pPr>
              <w:ind w:left="0" w:right="0" w:firstLine="0"/>
              <w:jc w:val="left"/>
              <w:spacing w:before="60" w:after="60" w:line="240" w:lineRule="auto"/>
              <w:rPr>
                <w:bCs w:val="0"/>
                <w:i w:val="0"/>
                <w:sz w:val="22"/>
                <w:szCs w:val="22"/>
                <w:highlight w:val="yellow"/>
              </w:rPr>
            </w:pPr>
            <w:r>
              <w:rPr>
                <w:rFonts w:eastAsia="Calibri" w:cs="Arial"/>
                <w:i w:val="0"/>
                <w:iCs w:val="0"/>
                <w:sz w:val="28"/>
                <w:szCs w:val="28"/>
                <w:lang w:val="ru-RU" w:eastAsia="en-US" w:bidi="ar-SA"/>
              </w:rPr>
              <w:t xml:space="preserve">Лот №</w:t>
            </w:r>
            <w:r>
              <w:rPr>
                <w:i w:val="0"/>
                <w:iCs w:val="0"/>
                <w:sz w:val="28"/>
                <w:szCs w:val="28"/>
                <w:lang w:eastAsia="en-US"/>
              </w:rPr>
              <w:t xml:space="preserve">22216000-ТПИР ОТМ-2027-ДГК</w:t>
            </w:r>
            <w:r>
              <w:rPr>
                <w:bCs w:val="0"/>
                <w:i w:val="0"/>
                <w:sz w:val="22"/>
                <w:szCs w:val="22"/>
                <w:highlight w:val="yellow"/>
              </w:rPr>
            </w:r>
            <w:r>
              <w:rPr>
                <w:bCs w:val="0"/>
                <w:i w:val="0"/>
                <w:sz w:val="22"/>
                <w:szCs w:val="22"/>
                <w:highlight w:val="yellow"/>
              </w:rPr>
            </w:r>
          </w:p>
          <w:p>
            <w:pPr>
              <w:ind w:left="0" w:right="144" w:firstLine="0"/>
              <w:jc w:val="both"/>
              <w:spacing w:line="240" w:lineRule="auto"/>
              <w:rPr>
                <w:sz w:val="28"/>
                <w:szCs w:val="28"/>
                <w:highlight w:val="none"/>
              </w:rPr>
            </w:pPr>
            <w:r>
              <w:rPr>
                <w:b/>
                <w:bCs/>
                <w:sz w:val="28"/>
                <w:szCs w:val="28"/>
              </w:rPr>
            </w:r>
            <w:r>
              <w:rPr>
                <w:b/>
                <w:bCs/>
                <w:sz w:val="28"/>
                <w:szCs w:val="28"/>
              </w:rPr>
              <w:t xml:space="preserve">ОКПД2 27.12.10.110 Поставка высоковольтных выключателей 110кВ в рамках инвестиционных проектов для нужд СП Благовещенская ТЭЦ (I_505-АГ-53), СП Николаевская ТЭЦ (O_505-НТЭЦ-7) АО "ДГК"</w:t>
            </w:r>
            <w:r>
              <w:rPr>
                <w:sz w:val="28"/>
                <w:szCs w:val="28"/>
                <w:highlight w:val="none"/>
              </w:rPr>
            </w:r>
            <w:r>
              <w:rPr>
                <w:sz w:val="28"/>
                <w:szCs w:val="28"/>
                <w:highlight w:val="none"/>
              </w:rPr>
            </w:r>
          </w:p>
        </w:tc>
      </w:tr>
      <w:tr>
        <w:tblPrEx/>
        <w:trPr/>
        <w:tc>
          <w:tcPr>
            <w:tcW w:w="837" w:type="dxa"/>
            <w:textDirection w:val="lrTb"/>
            <w:noWrap w:val="false"/>
          </w:tcPr>
          <w:p>
            <w:pPr>
              <w:pStyle w:val="1338"/>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r>
            <w:bookmarkStart w:id="14" w:name="_Ref135729276"/>
            <w:r/>
            <w:bookmarkEnd w:id="14"/>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3273" w:type="dxa"/>
            <w:textDirection w:val="lrTb"/>
            <w:noWrap w:val="false"/>
          </w:tcPr>
          <w:p>
            <w:pPr>
              <w:pStyle w:val="1342"/>
              <w:jc w:val="left"/>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Описание</w:t>
              <w:br/>
              <w:t xml:space="preserve">предмета закупки:</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5644" w:type="dxa"/>
            <w:textDirection w:val="lrTb"/>
            <w:noWrap w:val="false"/>
          </w:tcPr>
          <w:p>
            <w:pPr>
              <w:pStyle w:val="1342"/>
              <w:spacing w:before="60" w:after="60" w:line="240" w:lineRule="auto"/>
              <w:widowControl w:val="off"/>
            </w:pPr>
            <w:r>
              <w:rPr>
                <w:rFonts w:eastAsia="Calibri" w:cs="Arial"/>
                <w:sz w:val="26"/>
                <w:szCs w:val="22"/>
                <w:lang w:val="ru-RU" w:eastAsia="en-US" w:bidi="ar-SA"/>
              </w:rPr>
              <w:t xml:space="preserve">Подробное описание предмета закупки, в том числе функциональные характеристики (потребительские свойства), технические и качественные характери</w:t>
            </w:r>
            <w:r>
              <w:rPr>
                <w:rFonts w:eastAsia="Calibri" w:cs="Arial"/>
                <w:sz w:val="26"/>
                <w:szCs w:val="22"/>
                <w:lang w:val="ru-RU" w:eastAsia="en-US" w:bidi="ar-SA"/>
              </w:rPr>
              <w:t xml:space="preserve">стики, а также эксплуатационные характеристики (при необходимости) предмета закупки, информация о количестве поставляемого товара, объема выполняемых работ, оказываемых услуг, а также место поставки товара, выполнения работы, оказания услуги, содержится в </w:t>
            </w:r>
            <w:hyperlink w:tooltip="#Прил01_ТехТребования" w:anchor="Прил01_ТехТребования" w:history="1">
              <w:r>
                <w:rPr>
                  <w:rStyle w:val="1311"/>
                  <w:rFonts w:eastAsia="Calibri" w:cs="Arial"/>
                  <w:sz w:val="26"/>
                  <w:szCs w:val="22"/>
                  <w:lang w:val="ru-RU" w:eastAsia="en-US" w:bidi="ar-SA"/>
                </w:rPr>
                <w:t xml:space="preserve">Технических требованиях (Приложении № 1)</w:t>
              </w:r>
            </w:hyperlink>
            <w:r>
              <w:rPr>
                <w:rFonts w:eastAsia="Calibri" w:cs="Arial"/>
                <w:sz w:val="26"/>
                <w:szCs w:val="22"/>
                <w:lang w:val="ru-RU" w:eastAsia="en-US" w:bidi="ar-SA"/>
              </w:rPr>
              <w:t xml:space="preserve">, в части требований, обусловленных законодательством о национальном режиме дополнительно в Структуре НМЦ (в составе Коммерческого предложения (форма 3) (</w:t>
            </w:r>
            <w:hyperlink w:tooltip="#Прил04_ФормыЗаявки" w:anchor="Прил04_ФормыЗаявки" w:history="1">
              <w:r>
                <w:rPr>
                  <w:rStyle w:val="1311"/>
                  <w:rFonts w:eastAsia="Calibri" w:cs="Arial"/>
                  <w:sz w:val="26"/>
                  <w:szCs w:val="22"/>
                  <w:lang w:val="ru-RU" w:eastAsia="en-US" w:bidi="ar-SA"/>
                </w:rPr>
                <w:t xml:space="preserve">Приложение № 4</w:t>
              </w:r>
            </w:hyperlink>
            <w:r>
              <w:rPr>
                <w:rFonts w:eastAsia="Calibri" w:cs="Arial"/>
                <w:sz w:val="26"/>
                <w:szCs w:val="22"/>
                <w:lang w:val="ru-RU" w:eastAsia="en-US" w:bidi="ar-SA"/>
              </w:rPr>
              <w:t xml:space="preserve">)).</w:t>
            </w:r>
            <w:r/>
          </w:p>
        </w:tc>
      </w:tr>
      <w:tr>
        <w:tblPrEx/>
        <w:trPr/>
        <w:tc>
          <w:tcPr>
            <w:tcW w:w="837" w:type="dxa"/>
            <w:textDirection w:val="lrTb"/>
            <w:noWrap w:val="false"/>
          </w:tcPr>
          <w:p>
            <w:pPr>
              <w:pStyle w:val="1338"/>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r>
            <w:bookmarkStart w:id="16" w:name="_Ref125367124"/>
            <w:r/>
            <w:bookmarkEnd w:id="16"/>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3273" w:type="dxa"/>
            <w:textDirection w:val="lrTb"/>
            <w:noWrap w:val="false"/>
          </w:tcPr>
          <w:p>
            <w:pPr>
              <w:pStyle w:val="1342"/>
              <w:jc w:val="left"/>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Многолотовая закупка:</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5644" w:type="dxa"/>
            <w:textDirection w:val="lrTb"/>
            <w:noWrap w:val="false"/>
          </w:tcPr>
          <w:p>
            <w:pPr>
              <w:pStyle w:val="1342"/>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Нет.</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r>
      <w:tr>
        <w:tblPrEx/>
        <w:trPr/>
        <w:tc>
          <w:tcPr>
            <w:tcW w:w="837" w:type="dxa"/>
            <w:textDirection w:val="lrTb"/>
            <w:noWrap w:val="false"/>
          </w:tcPr>
          <w:p>
            <w:pPr>
              <w:pStyle w:val="1338"/>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r>
            <w:bookmarkStart w:id="18" w:name="_Ref125360764"/>
            <w:r/>
            <w:bookmarkEnd w:id="18"/>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3273" w:type="dxa"/>
            <w:textDirection w:val="lrTb"/>
            <w:noWrap w:val="false"/>
          </w:tcPr>
          <w:p>
            <w:pPr>
              <w:pStyle w:val="1342"/>
              <w:jc w:val="left"/>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Наименование и адрес ЭП, на которой проводится закупка:</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5644" w:type="dxa"/>
            <w:textDirection w:val="lrTb"/>
            <w:noWrap w:val="false"/>
          </w:tcPr>
          <w:p>
            <w:pPr>
              <w:pStyle w:val="1271"/>
              <w:ind w:left="38" w:firstLine="0"/>
              <w:jc w:val="left"/>
              <w:spacing w:before="60" w:after="120" w:line="240" w:lineRule="auto"/>
              <w:widowControl w:val="off"/>
              <w:rPr>
                <w:b/>
                <w:bCs/>
                <w:color w:val="7030a0"/>
                <w:highlight w:val="none"/>
              </w:rPr>
            </w:pPr>
            <w:r>
              <w:rPr>
                <w:rFonts w:eastAsia="Calibri" w:cs="Arial"/>
                <w:sz w:val="26"/>
                <w:szCs w:val="22"/>
                <w:lang w:val="ru-RU" w:eastAsia="en-US" w:bidi="ar-SA"/>
              </w:rPr>
              <w:t xml:space="preserve">Электронная торговая площадка: </w:t>
            </w:r>
            <w:hyperlink r:id="rId41" w:tooltip="http://www.roseltorg.ru/" w:history="1">
              <w:r>
                <w:rPr>
                  <w:rStyle w:val="1308"/>
                </w:rPr>
                <w:t xml:space="preserve">www.roseltorg.ru</w:t>
              </w:r>
            </w:hyperlink>
            <w:r>
              <w:t xml:space="preserve">.</w:t>
            </w:r>
            <w:r>
              <w:rPr>
                <w:b/>
                <w:bCs/>
                <w:color w:val="7030a0"/>
                <w:highlight w:val="none"/>
              </w:rPr>
            </w:r>
            <w:r>
              <w:rPr>
                <w:b/>
                <w:bCs/>
                <w:color w:val="7030a0"/>
                <w:highlight w:val="none"/>
              </w:rPr>
            </w:r>
          </w:p>
          <w:p>
            <w:pPr>
              <w:pStyle w:val="1271"/>
              <w:ind w:left="38" w:firstLine="0"/>
              <w:jc w:val="left"/>
              <w:spacing w:before="60" w:after="120" w:line="240" w:lineRule="auto"/>
              <w:widowControl w:val="off"/>
              <w:rPr>
                <w:i/>
                <w:shd w:val="clear" w:color="auto" w:fill="ffff99"/>
              </w:rPr>
            </w:pPr>
            <w:r>
              <w:rPr>
                <w:rFonts w:eastAsia="Calibri" w:cs="Arial"/>
                <w:sz w:val="26"/>
                <w:szCs w:val="22"/>
                <w:lang w:val="ru-RU" w:eastAsia="en-US" w:bidi="ar-SA"/>
              </w:rPr>
              <w:t xml:space="preserve">Регламент ЭТП, в соответствии с которым проводится закупка, размещен по адресу</w:t>
            </w:r>
            <w:r>
              <w:rPr>
                <w:rFonts w:eastAsia="Calibri" w:cs="Arial"/>
                <w:b/>
                <w:sz w:val="26"/>
                <w:szCs w:val="22"/>
                <w:lang w:val="ru-RU" w:eastAsia="en-US" w:bidi="ar-SA"/>
              </w:rPr>
              <w:t xml:space="preserve">: </w:t>
            </w:r>
            <w:r>
              <w:rPr>
                <w:sz w:val="24"/>
                <w:szCs w:val="24"/>
              </w:rPr>
              <w:t xml:space="preserve">https://www.roseltorg.ru/personal/rushydro#additional_info</w:t>
            </w:r>
            <w:r>
              <w:t xml:space="preserve">.</w:t>
            </w:r>
            <w:r>
              <w:rPr>
                <w:i/>
                <w:shd w:val="clear" w:color="auto" w:fill="ffff99"/>
              </w:rPr>
            </w:r>
            <w:r>
              <w:rPr>
                <w:i/>
                <w:shd w:val="clear" w:color="auto" w:fill="ffff99"/>
              </w:rPr>
            </w:r>
          </w:p>
        </w:tc>
      </w:tr>
      <w:tr>
        <w:tblPrEx/>
        <w:trPr/>
        <w:tc>
          <w:tcPr>
            <w:tcW w:w="837" w:type="dxa"/>
            <w:textDirection w:val="lrTb"/>
            <w:noWrap w:val="false"/>
          </w:tcPr>
          <w:p>
            <w:pPr>
              <w:pStyle w:val="1338"/>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r>
            <w:bookmarkStart w:id="20" w:name="_Ref125360970"/>
            <w:r/>
            <w:bookmarkEnd w:id="20"/>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3273" w:type="dxa"/>
            <w:textDirection w:val="lrTb"/>
            <w:noWrap w:val="false"/>
          </w:tcPr>
          <w:p>
            <w:pPr>
              <w:pStyle w:val="1342"/>
              <w:jc w:val="left"/>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Участники:</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5644" w:type="dxa"/>
            <w:textDirection w:val="lrTb"/>
            <w:noWrap w:val="false"/>
          </w:tcPr>
          <w:p>
            <w:pPr>
              <w:pStyle w:val="1342"/>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Участвовать в закупке могут любые лица, заинтересованные в предмете закупки.</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r>
      <w:tr>
        <w:tblPrEx/>
        <w:trPr/>
        <w:tc>
          <w:tcPr>
            <w:tcW w:w="837" w:type="dxa"/>
            <w:textDirection w:val="lrTb"/>
            <w:noWrap w:val="false"/>
          </w:tcPr>
          <w:p>
            <w:pPr>
              <w:pStyle w:val="1338"/>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r>
            <w:bookmarkStart w:id="22" w:name="_Ref125360988"/>
            <w:r/>
            <w:bookmarkEnd w:id="22"/>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3273" w:type="dxa"/>
            <w:textDirection w:val="lrTb"/>
            <w:noWrap w:val="false"/>
          </w:tcPr>
          <w:p>
            <w:pPr>
              <w:pStyle w:val="1342"/>
              <w:jc w:val="left"/>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Заказчик:</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5644" w:type="dxa"/>
            <w:textDirection w:val="lrTb"/>
            <w:noWrap w:val="false"/>
          </w:tcPr>
          <w:p>
            <w:pPr>
              <w:pStyle w:val="1271"/>
              <w:jc w:val="both"/>
              <w:spacing w:before="0" w:after="0"/>
              <w:widowControl w:val="off"/>
            </w:pPr>
            <w:r>
              <w:t xml:space="preserve">Наименование (полное и сокращенное): Акционерное общество «Дальневосточная генерирующая компания» (АО «ДГК»)</w:t>
            </w:r>
            <w:r/>
          </w:p>
          <w:p>
            <w:pPr>
              <w:pStyle w:val="1271"/>
              <w:jc w:val="both"/>
              <w:spacing w:before="0" w:after="0"/>
              <w:widowControl w:val="off"/>
            </w:pPr>
            <w:r>
              <w:t xml:space="preserve">Место нахождения:680000, г. Хабаровск, ул. Фрунзе, д. 49</w:t>
            </w:r>
            <w:r/>
          </w:p>
          <w:p>
            <w:pPr>
              <w:pStyle w:val="1271"/>
              <w:jc w:val="both"/>
              <w:spacing w:before="0" w:after="0"/>
              <w:widowControl w:val="off"/>
            </w:pPr>
            <w:r>
              <w:t xml:space="preserve">Почтовый адрес: 680000, г. Хабаровск, ул. Фрунзе, д. 49</w:t>
            </w:r>
            <w:r/>
          </w:p>
          <w:p>
            <w:pPr>
              <w:pStyle w:val="1271"/>
              <w:spacing w:before="0" w:after="0"/>
              <w:widowControl w:val="off"/>
            </w:pPr>
            <w:r>
              <w:t xml:space="preserve">Адрес электронной почты: </w:t>
            </w:r>
            <w:r>
              <w:rPr>
                <w:color w:val="0000ff"/>
                <w:u w:val="single"/>
                <w:lang w:val="en-US"/>
              </w:rPr>
              <w:t xml:space="preserve">dgk</w:t>
            </w:r>
            <w:r>
              <w:rPr>
                <w:color w:val="0000ff"/>
                <w:u w:val="single"/>
              </w:rPr>
              <w:t xml:space="preserve">@dgk.ru</w:t>
            </w:r>
            <w:r/>
          </w:p>
          <w:p>
            <w:pPr>
              <w:pStyle w:val="1271"/>
              <w:spacing w:before="0" w:after="0"/>
              <w:widowControl w:val="off"/>
              <w:tabs>
                <w:tab w:val="left" w:pos="426" w:leader="none"/>
                <w:tab w:val="clear" w:pos="567" w:leader="none"/>
              </w:tabs>
            </w:pPr>
            <w:r>
              <w:t xml:space="preserve">Контактный телефон: (4212) 26-48-59</w:t>
            </w:r>
            <w:r>
              <w:rPr>
                <w:b w:val="0"/>
                <w:i w:val="0"/>
                <w:sz w:val="26"/>
                <w:szCs w:val="26"/>
                <w:shd w:val="clear" w:color="auto" w:fill="auto"/>
              </w:rPr>
            </w:r>
            <w:r/>
          </w:p>
        </w:tc>
      </w:tr>
      <w:tr>
        <w:tblPrEx/>
        <w:trPr/>
        <w:tc>
          <w:tcPr>
            <w:tcW w:w="837" w:type="dxa"/>
            <w:textDirection w:val="lrTb"/>
            <w:noWrap w:val="false"/>
          </w:tcPr>
          <w:p>
            <w:pPr>
              <w:pStyle w:val="1338"/>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r>
            <w:bookmarkStart w:id="24" w:name="_Ref125360954"/>
            <w:r/>
            <w:bookmarkEnd w:id="24"/>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3273" w:type="dxa"/>
            <w:textDirection w:val="lrTb"/>
            <w:noWrap w:val="false"/>
          </w:tcPr>
          <w:p>
            <w:pPr>
              <w:pStyle w:val="1342"/>
              <w:jc w:val="left"/>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Организатор:</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5644" w:type="dxa"/>
            <w:textDirection w:val="lrTb"/>
            <w:noWrap w:val="false"/>
          </w:tcPr>
          <w:p>
            <w:pPr>
              <w:pStyle w:val="1271"/>
              <w:jc w:val="both"/>
              <w:spacing w:before="0" w:after="0"/>
              <w:widowControl w:val="off"/>
            </w:pPr>
            <w:r>
              <w:t xml:space="preserve">Наименование (полное и сокращенное): Акционерное общество «Дальневосточная генерирующая компания» (АО «ДГК»)</w:t>
            </w:r>
            <w:r/>
          </w:p>
          <w:p>
            <w:pPr>
              <w:pStyle w:val="1271"/>
              <w:jc w:val="both"/>
              <w:spacing w:before="0" w:after="0"/>
              <w:widowControl w:val="off"/>
            </w:pPr>
            <w:r>
              <w:t xml:space="preserve">Место нахождения:680000, г. Хабаровск, ул. Фрунзе, д. 49</w:t>
            </w:r>
            <w:r/>
          </w:p>
          <w:p>
            <w:pPr>
              <w:pStyle w:val="1271"/>
              <w:jc w:val="both"/>
              <w:spacing w:before="0" w:after="0"/>
              <w:widowControl w:val="off"/>
            </w:pPr>
            <w:r>
              <w:t xml:space="preserve">Почтовый адрес: 680000, г. Хабаровск, ул. Фрунзе, д. 49</w:t>
            </w:r>
            <w:r/>
          </w:p>
          <w:p>
            <w:pPr>
              <w:pStyle w:val="1271"/>
              <w:spacing w:before="0" w:after="0"/>
              <w:widowControl w:val="off"/>
            </w:pPr>
            <w:r>
              <w:t xml:space="preserve">Адрес электронной почты: </w:t>
            </w:r>
            <w:r>
              <w:rPr>
                <w:color w:val="0000ff"/>
                <w:u w:val="single"/>
                <w:lang w:val="en-US"/>
              </w:rPr>
              <w:t xml:space="preserve">dgk</w:t>
            </w:r>
            <w:r>
              <w:rPr>
                <w:color w:val="0000ff"/>
                <w:u w:val="single"/>
              </w:rPr>
              <w:t xml:space="preserve">@dgk.ru</w:t>
            </w:r>
            <w:r/>
          </w:p>
          <w:p>
            <w:pPr>
              <w:pStyle w:val="1271"/>
              <w:spacing w:before="0" w:after="0"/>
              <w:widowControl w:val="off"/>
              <w:tabs>
                <w:tab w:val="left" w:pos="426" w:leader="none"/>
                <w:tab w:val="clear" w:pos="567" w:leader="none"/>
              </w:tabs>
            </w:pPr>
            <w:r>
              <w:t xml:space="preserve">Контактный телефон: (4212) 26-48-59</w:t>
            </w:r>
            <w:r>
              <w:rPr>
                <w:b/>
              </w:rPr>
            </w:r>
            <w:r/>
          </w:p>
        </w:tc>
      </w:tr>
      <w:tr>
        <w:tblPrEx/>
        <w:trPr/>
        <w:tc>
          <w:tcPr>
            <w:tcW w:w="837" w:type="dxa"/>
            <w:textDirection w:val="lrTb"/>
            <w:noWrap w:val="false"/>
          </w:tcPr>
          <w:p>
            <w:pPr>
              <w:pStyle w:val="1338"/>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r>
            <w:bookmarkStart w:id="26" w:name="_Ref125361238"/>
            <w:r/>
            <w:bookmarkEnd w:id="26"/>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3273" w:type="dxa"/>
            <w:textDirection w:val="lrTb"/>
            <w:noWrap w:val="false"/>
          </w:tcPr>
          <w:p>
            <w:pPr>
              <w:pStyle w:val="1342"/>
              <w:jc w:val="left"/>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Представитель Организатора:</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5644" w:type="dxa"/>
            <w:textDirection w:val="lrTb"/>
            <w:noWrap w:val="false"/>
          </w:tcPr>
          <w:p>
            <w:pPr>
              <w:pStyle w:val="1271"/>
              <w:jc w:val="left"/>
              <w:spacing w:before="0" w:after="0"/>
              <w:widowControl w:val="off"/>
            </w:pPr>
            <w:r>
              <w:t xml:space="preserve">Контактное лицо (Ф.И.О.): Лукьянова Татьяна Сергеевна</w:t>
            </w:r>
            <w:r/>
          </w:p>
          <w:p>
            <w:pPr>
              <w:pStyle w:val="1271"/>
              <w:spacing w:before="0" w:after="0"/>
              <w:widowControl w:val="off"/>
            </w:pPr>
            <w:r>
              <w:t xml:space="preserve">Контактный телефон: (4212) 26-48-59</w:t>
            </w:r>
            <w:r/>
          </w:p>
          <w:p>
            <w:pPr>
              <w:pStyle w:val="1368"/>
              <w:spacing w:before="0" w:after="0"/>
              <w:widowControl w:val="off"/>
            </w:pPr>
            <w:r>
              <w:rPr>
                <w:b w:val="0"/>
                <w:bCs w:val="0"/>
                <w:sz w:val="24"/>
                <w:szCs w:val="24"/>
              </w:rPr>
              <w:t xml:space="preserve">Адрес электронной почты:</w:t>
            </w:r>
            <w:hyperlink r:id="rId42" w:tooltip="mailto:%3D%3Fkoi8-r%3FQ%3F%3DEC%3DD5%3DCB%3DD8%3DD1%3DCE%3DCF%3DD7%3DC1_%3F%3D %3D%3Fkoi8-r%3FQ%3F%3DF4%3DC1%3DD4%3DD8%3DD1%3DCE%3DC1_%3F%3D %3D%3Fkoi8-r%3FQ%3F%3DF3%3DC5%3DD2%3DC7%3DC5%3DC5%3DD7%3DCE%3DC1%3F%3D &lt;lukyanova-ts@dgk.ru&gt;" w:history="1">
              <w:r>
                <w:rPr>
                  <w:rStyle w:val="1308"/>
                  <w:rFonts w:eastAsia="Open Sans"/>
                  <w:color w:val="0000ee"/>
                  <w:sz w:val="28"/>
                  <w:szCs w:val="28"/>
                </w:rPr>
                <w:t xml:space="preserve">lukyanova-ts@dgk.ru</w:t>
              </w:r>
            </w:hyperlink>
            <w:r/>
            <w:r/>
          </w:p>
        </w:tc>
      </w:tr>
      <w:tr>
        <w:tblPrEx/>
        <w:trPr/>
        <w:tc>
          <w:tcPr>
            <w:tcW w:w="837" w:type="dxa"/>
            <w:textDirection w:val="lrTb"/>
            <w:noWrap w:val="false"/>
          </w:tcPr>
          <w:p>
            <w:pPr>
              <w:pStyle w:val="1338"/>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r>
            <w:bookmarkStart w:id="28" w:name="_Ref125362694"/>
            <w:r/>
            <w:bookmarkEnd w:id="28"/>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3273" w:type="dxa"/>
            <w:textDirection w:val="lrTb"/>
            <w:noWrap w:val="false"/>
          </w:tcPr>
          <w:p>
            <w:pPr>
              <w:pStyle w:val="1342"/>
              <w:jc w:val="left"/>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Официальный источник размещения информации о проведении закупки / срок, место и порядок предоставления Документации о закупке:</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5644" w:type="dxa"/>
            <w:textDirection w:val="lrTb"/>
            <w:noWrap w:val="false"/>
          </w:tcPr>
          <w:p>
            <w:pPr>
              <w:pStyle w:val="1342"/>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Документация о закупке официально размещена в ЕИС и доступна на Официальном сайте для ознакомления любым заинтересованным лицам. Официальным источником информации о ходе проведения закупки является Официальный сайт (zakupki.gov.ru).</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p>
            <w:pPr>
              <w:pStyle w:val="1342"/>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Документация о закупке доступна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r>
      <w:tr>
        <w:tblPrEx/>
        <w:trPr/>
        <w:tc>
          <w:tcPr>
            <w:tcW w:w="837" w:type="dxa"/>
            <w:textDirection w:val="lrTb"/>
            <w:noWrap w:val="false"/>
          </w:tcPr>
          <w:p>
            <w:pPr>
              <w:pStyle w:val="1338"/>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r>
            <w:bookmarkStart w:id="30" w:name="_Ref125360963"/>
            <w:r/>
            <w:bookmarkEnd w:id="30"/>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3273" w:type="dxa"/>
            <w:textDirection w:val="lrTb"/>
            <w:noWrap w:val="false"/>
          </w:tcPr>
          <w:p>
            <w:pPr>
              <w:pStyle w:val="1342"/>
              <w:jc w:val="left"/>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Дата размещения Извещения о проведении закупки:</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5644" w:type="dxa"/>
            <w:textDirection w:val="lrTb"/>
            <w:noWrap w:val="false"/>
          </w:tcPr>
          <w:p>
            <w:pPr>
              <w:pStyle w:val="1342"/>
              <w:spacing w:before="60" w:after="60" w:line="240" w:lineRule="auto"/>
              <w:widowControl w:val="off"/>
              <w:rPr>
                <w:b/>
                <w:bCs/>
              </w:rPr>
            </w:pPr>
            <w:r>
              <w:rPr>
                <w:rFonts w:eastAsia="Calibri" w:cs="Arial"/>
                <w:b/>
                <w:bCs/>
                <w:sz w:val="26"/>
                <w:szCs w:val="22"/>
                <w:lang w:val="ru-RU" w:eastAsia="en-US" w:bidi="ar-SA"/>
              </w:rPr>
              <w:t xml:space="preserve">«28» августа 2026 г.</w:t>
            </w:r>
            <w:r>
              <w:rPr>
                <w:b/>
                <w:bCs/>
              </w:rPr>
            </w:r>
            <w:r>
              <w:rPr>
                <w:b/>
                <w:bCs/>
              </w:rPr>
            </w:r>
          </w:p>
        </w:tc>
      </w:tr>
      <w:tr>
        <w:tblPrEx/>
        <w:trPr/>
        <w:tc>
          <w:tcPr>
            <w:tcW w:w="837" w:type="dxa"/>
            <w:textDirection w:val="lrTb"/>
            <w:noWrap w:val="false"/>
          </w:tcPr>
          <w:p>
            <w:pPr>
              <w:pStyle w:val="1338"/>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r>
            <w:bookmarkStart w:id="32" w:name="_Ref125362837"/>
            <w:r/>
            <w:bookmarkEnd w:id="32"/>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3273" w:type="dxa"/>
            <w:textDirection w:val="lrTb"/>
            <w:noWrap w:val="false"/>
          </w:tcPr>
          <w:p>
            <w:pPr>
              <w:pStyle w:val="1342"/>
              <w:jc w:val="left"/>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Начальная (максимальная) цена договора (цена лота):</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5644" w:type="dxa"/>
            <w:textDirection w:val="lrTb"/>
            <w:noWrap w:val="false"/>
          </w:tcPr>
          <w:p>
            <w:pPr>
              <w:pStyle w:val="1342"/>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НМЦ составляет </w:t>
            </w:r>
            <w:r>
              <w:rPr>
                <w:b/>
                <w:bCs/>
                <w:i w:val="0"/>
                <w:iCs w:val="0"/>
                <w:sz w:val="28"/>
                <w:szCs w:val="28"/>
                <w:highlight w:val="white"/>
                <w:lang w:eastAsia="en-US"/>
              </w:rPr>
              <w:t xml:space="preserve">29 882 250,00</w:t>
            </w:r>
            <w:r>
              <w:rPr>
                <w:b/>
                <w:bCs/>
                <w:i w:val="0"/>
                <w:iCs w:val="0"/>
                <w:sz w:val="28"/>
                <w:szCs w:val="28"/>
                <w:highlight w:val="white"/>
                <w:lang w:eastAsia="en-US"/>
              </w:rPr>
              <w:t xml:space="preserve"> </w:t>
            </w:r>
            <w:r>
              <w:rPr>
                <w:rFonts w:eastAsia="Calibri" w:cs="Arial"/>
                <w:b/>
                <w:bCs/>
                <w:sz w:val="26"/>
                <w:szCs w:val="22"/>
                <w:lang w:val="ru-RU" w:eastAsia="en-US" w:bidi="ar-SA"/>
              </w:rPr>
              <w:t xml:space="preserve">руб.</w:t>
            </w:r>
            <w:r>
              <w:rPr>
                <w:rFonts w:eastAsia="Calibri" w:cs="Arial"/>
                <w:sz w:val="26"/>
                <w:szCs w:val="22"/>
                <w:lang w:val="ru-RU" w:eastAsia="en-US" w:bidi="ar-SA"/>
              </w:rPr>
              <w:t xml:space="preserve">, без учета НДС.</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p>
            <w:pPr>
              <w:pStyle w:val="1342"/>
              <w:spacing w:before="60" w:after="60" w:line="240" w:lineRule="auto"/>
              <w:widowControl w:val="off"/>
            </w:pPr>
            <w:r>
              <w:rPr>
                <w:rFonts w:eastAsia="Calibri" w:cs="Arial"/>
                <w:sz w:val="26"/>
                <w:szCs w:val="22"/>
                <w:lang w:val="ru-RU" w:eastAsia="en-US" w:bidi="ar-SA"/>
              </w:rPr>
              <w:t xml:space="preserve">Обоснование НМЦ представлено в </w:t>
            </w:r>
            <w:hyperlink w:tooltip="#Прил09_ОбоснованиеНМЦ" w:anchor="Прил09_ОбоснованиеНМЦ" w:history="1">
              <w:r>
                <w:rPr>
                  <w:rStyle w:val="1311"/>
                  <w:rFonts w:eastAsia="Calibri" w:cs="Arial"/>
                  <w:sz w:val="26"/>
                  <w:szCs w:val="22"/>
                  <w:lang w:val="ru-RU" w:eastAsia="en-US" w:bidi="ar-SA"/>
                </w:rPr>
                <w:t xml:space="preserve">Приложении № 9</w:t>
              </w:r>
            </w:hyperlink>
            <w:r>
              <w:rPr>
                <w:rFonts w:eastAsia="Calibri" w:cs="Arial"/>
                <w:sz w:val="26"/>
                <w:szCs w:val="22"/>
                <w:lang w:val="ru-RU" w:eastAsia="en-US" w:bidi="ar-SA"/>
              </w:rPr>
              <w:t xml:space="preserve">.</w:t>
            </w:r>
            <w:r/>
          </w:p>
        </w:tc>
      </w:tr>
      <w:tr>
        <w:tblPrEx/>
        <w:trPr/>
        <w:tc>
          <w:tcPr>
            <w:tcW w:w="837" w:type="dxa"/>
            <w:textDirection w:val="lrTb"/>
            <w:noWrap w:val="false"/>
          </w:tcPr>
          <w:p>
            <w:pPr>
              <w:pStyle w:val="1338"/>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r>
            <w:bookmarkStart w:id="34" w:name="_Ref125363076"/>
            <w:r/>
            <w:bookmarkEnd w:id="34"/>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3273" w:type="dxa"/>
            <w:textDirection w:val="lrTb"/>
            <w:noWrap w:val="false"/>
          </w:tcPr>
          <w:p>
            <w:pPr>
              <w:pStyle w:val="1342"/>
              <w:jc w:val="left"/>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Обеспечение заявки на участие в закупке:</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5644" w:type="dxa"/>
            <w:textDirection w:val="lrTb"/>
            <w:noWrap w:val="false"/>
          </w:tcPr>
          <w:p>
            <w:pPr>
              <w:pStyle w:val="1342"/>
              <w:spacing w:before="60" w:after="60" w:line="240" w:lineRule="auto"/>
              <w:widowControl w:val="off"/>
              <w:rPr>
                <w:b/>
                <w:bCs/>
              </w:rPr>
            </w:pPr>
            <w:r>
              <w:rPr>
                <w:rFonts w:eastAsia="Calibri" w:cs="Arial"/>
                <w:b/>
                <w:bCs/>
                <w:sz w:val="26"/>
                <w:szCs w:val="22"/>
                <w:lang w:val="ru-RU" w:eastAsia="en-US" w:bidi="ar-SA"/>
              </w:rPr>
              <w:t xml:space="preserve">Требуется.</w:t>
            </w:r>
            <w:r>
              <w:rPr>
                <w:b/>
                <w:bCs/>
              </w:rPr>
            </w:r>
            <w:r>
              <w:rPr>
                <w:b/>
                <w:bCs/>
              </w:rPr>
            </w:r>
          </w:p>
          <w:p>
            <w:pPr>
              <w:pStyle w:val="1342"/>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Размер обеспечения заявок: </w:t>
            </w:r>
            <w:r>
              <w:rPr>
                <w:i w:val="0"/>
                <w:iCs w:val="0"/>
                <w:sz w:val="28"/>
                <w:szCs w:val="28"/>
              </w:rPr>
              <w:t xml:space="preserve">546 646,60</w:t>
            </w:r>
            <w:r>
              <w:rPr>
                <w:i w:val="0"/>
                <w:iCs w:val="0"/>
                <w:sz w:val="28"/>
                <w:szCs w:val="28"/>
              </w:rPr>
              <w:t xml:space="preserve"> </w:t>
            </w:r>
            <w:r>
              <w:rPr>
                <w:rFonts w:eastAsia="Calibri" w:cs="Arial"/>
                <w:sz w:val="26"/>
                <w:szCs w:val="22"/>
                <w:lang w:val="ru-RU" w:eastAsia="en-US" w:bidi="ar-SA"/>
              </w:rPr>
              <w:t xml:space="preserve">(</w:t>
            </w:r>
            <w:r>
              <w:rPr>
                <w:rFonts w:eastAsia="Calibri" w:cs="Arial"/>
                <w:sz w:val="26"/>
                <w:szCs w:val="22"/>
                <w:lang w:val="ru-RU" w:eastAsia="en-US" w:bidi="ar-SA"/>
              </w:rPr>
              <w:t xml:space="preserve">пятьсот сорок шесть тысяч шестьсот сорок шесть) рублей 60 копеек</w:t>
            </w:r>
            <w:r>
              <w:rPr>
                <w:rFonts w:eastAsia="Calibri" w:cs="Arial"/>
                <w:sz w:val="26"/>
                <w:szCs w:val="22"/>
                <w:lang w:val="ru-RU" w:eastAsia="en-US" w:bidi="ar-SA"/>
              </w:rPr>
              <w:t xml:space="preserve">, НДС не облагается.</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p>
            <w:pPr>
              <w:pStyle w:val="1342"/>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u w:val="single"/>
                <w:lang w:val="ru-RU" w:eastAsia="en-US" w:bidi="ar-SA"/>
              </w:rPr>
              <w:t xml:space="preserve">Допустимые формы обеспечения заявок</w:t>
            </w:r>
            <w:r>
              <w:rPr>
                <w:rFonts w:eastAsia="Calibri" w:cs="Arial"/>
                <w:sz w:val="26"/>
                <w:szCs w:val="22"/>
                <w:lang w:val="ru-RU" w:eastAsia="en-US" w:bidi="ar-SA"/>
              </w:rPr>
              <w:t xml:space="preserve">:</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p>
            <w:pPr>
              <w:pStyle w:val="1342"/>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 внесение денежных средств на индивидуальные счет, открытый Участнику Оператором ЭП в соответствии с Регламент</w:t>
            </w:r>
            <w:r>
              <w:rPr>
                <w:rFonts w:eastAsia="Calibri" w:cs="Arial"/>
                <w:sz w:val="26"/>
                <w:szCs w:val="22"/>
                <w:lang w:val="ru-RU" w:eastAsia="en-US" w:bidi="ar-SA"/>
              </w:rPr>
              <w:t xml:space="preserve">ом ЭП; с целью своевременного получения Организатором требуемого обеспечения, Участнику рекомендуется внести денежные средства в требуемом размере не менее чем за 2 (два) рабочих дня до момента окончания срока подачи заявок, установленного в пункте 1.2.18;</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p>
            <w:pPr>
              <w:pStyle w:val="1342"/>
              <w:spacing w:before="60" w:after="60" w:line="240" w:lineRule="auto"/>
              <w:widowControl w:val="off"/>
              <w:rPr>
                <w:rFonts w:ascii="Times New Roman" w:hAnsi="Times New Roman" w:eastAsia="Calibri" w:cs="Arial"/>
                <w:b/>
                <w:bCs/>
                <w:sz w:val="26"/>
                <w:szCs w:val="22"/>
              </w:rPr>
            </w:pPr>
            <w:r>
              <w:rPr>
                <w:rFonts w:eastAsia="Calibri" w:cs="Arial"/>
                <w:sz w:val="26"/>
                <w:szCs w:val="22"/>
                <w:lang w:val="ru-RU" w:eastAsia="en-US" w:bidi="ar-SA"/>
              </w:rPr>
              <w:t xml:space="preserve">- предоставление банковской гарантии (в том числе электронной банковской гарантии, выданной посредством функционала ЭП), </w:t>
            </w:r>
            <w:r>
              <w:rPr>
                <w:rFonts w:eastAsia="Calibri" w:cs="Arial"/>
                <w:b/>
                <w:bCs/>
                <w:sz w:val="26"/>
                <w:szCs w:val="22"/>
                <w:lang w:val="ru-RU" w:eastAsia="en-US" w:bidi="ar-SA"/>
              </w:rPr>
              <w:t xml:space="preserve">составленной с учетом требований подраздела 4.17.</w:t>
            </w:r>
            <w:r>
              <w:rPr>
                <w:rFonts w:ascii="Times New Roman" w:hAnsi="Times New Roman" w:eastAsia="Calibri" w:cs="Arial"/>
                <w:b/>
                <w:bCs/>
                <w:sz w:val="26"/>
                <w:szCs w:val="22"/>
              </w:rPr>
            </w:r>
            <w:r>
              <w:rPr>
                <w:rFonts w:ascii="Times New Roman" w:hAnsi="Times New Roman" w:eastAsia="Calibri" w:cs="Arial"/>
                <w:b/>
                <w:bCs/>
                <w:sz w:val="26"/>
                <w:szCs w:val="22"/>
              </w:rPr>
            </w:r>
          </w:p>
          <w:p>
            <w:pPr>
              <w:pStyle w:val="1342"/>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Выбор формы (способа) обеспечения заявки из числа указанных осуществляется Участником самостоятельно.</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p>
            <w:pPr>
              <w:pStyle w:val="1342"/>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Банковские реквизиты Заказчика (для перечисления Банком-гарантом суммы обеспечения заявок в случае нарушения Участником своих обязательств, связанных с участием в закупке):</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p>
            <w:pPr>
              <w:pStyle w:val="1342"/>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Наименование получателя: АО «ДГК»</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p>
            <w:pPr>
              <w:pStyle w:val="1342"/>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ИНН 1434031363 </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p>
            <w:pPr>
              <w:pStyle w:val="1342"/>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КПП 2721010001</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p>
            <w:pPr>
              <w:pStyle w:val="1342"/>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р/с 407 028 102 700 000 088 18 </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p>
            <w:pPr>
              <w:pStyle w:val="1342"/>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в Дальневосточный Банк ПАО Сбербанка РФ </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p>
            <w:pPr>
              <w:pStyle w:val="1342"/>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г. Хабаровск</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p>
            <w:pPr>
              <w:pStyle w:val="1342"/>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к/с 301 018 106 000 000 006 08</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p>
            <w:pPr>
              <w:pStyle w:val="1342"/>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БИК 0408133608</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p>
            <w:pPr>
              <w:pStyle w:val="1342"/>
              <w:spacing w:before="60" w:after="60" w:line="240" w:lineRule="auto"/>
              <w:widowControl w:val="off"/>
              <w:rPr>
                <w:rFonts w:ascii="Times New Roman" w:hAnsi="Times New Roman" w:eastAsia="Calibri" w:cs="Arial"/>
                <w:sz w:val="26"/>
                <w:szCs w:val="22"/>
                <w:lang w:val="ru-RU" w:eastAsia="en-US" w:bidi="ar-SA"/>
              </w:rPr>
            </w:pPr>
            <w:r>
              <w:rPr>
                <w:rFonts w:eastAsia="Calibri" w:cs="Arial"/>
                <w:b/>
                <w:bCs/>
                <w:sz w:val="26"/>
                <w:szCs w:val="22"/>
                <w:lang w:val="ru-RU" w:eastAsia="en-US" w:bidi="ar-SA"/>
              </w:rPr>
              <w:t xml:space="preserve">Внимание!</w:t>
            </w:r>
            <w:r>
              <w:rPr>
                <w:rFonts w:eastAsia="Calibri" w:cs="Arial"/>
                <w:sz w:val="26"/>
                <w:szCs w:val="22"/>
                <w:lang w:val="ru-RU" w:eastAsia="en-US" w:bidi="ar-SA"/>
              </w:rPr>
              <w:t xml:space="preserve"> Для того, что</w:t>
            </w:r>
            <w:r>
              <w:rPr>
                <w:rFonts w:eastAsia="Calibri" w:cs="Arial"/>
                <w:sz w:val="26"/>
                <w:szCs w:val="22"/>
                <w:lang w:val="ru-RU" w:eastAsia="en-US" w:bidi="ar-SA"/>
              </w:rPr>
              <w:t xml:space="preserve">бы иметь возможность подать заявку на участие в закупке, в соответствии с Регламентом ЭП на индивидуальный счет Участника, открытом ему Оператором ЭП, должна быть внесена сумма в размере не менее установленной платы, в соответствии с тарифами Оператора ЭП.</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r>
      <w:tr>
        <w:tblPrEx/>
        <w:trPr/>
        <w:tc>
          <w:tcPr>
            <w:tcW w:w="837" w:type="dxa"/>
            <w:textDirection w:val="lrTb"/>
            <w:noWrap w:val="false"/>
          </w:tcPr>
          <w:p>
            <w:pPr>
              <w:pStyle w:val="1338"/>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r>
            <w:bookmarkStart w:id="36" w:name="_Ref125362995"/>
            <w:r/>
            <w:bookmarkEnd w:id="36"/>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3273" w:type="dxa"/>
            <w:textDirection w:val="lrTb"/>
            <w:noWrap w:val="false"/>
          </w:tcPr>
          <w:p>
            <w:pPr>
              <w:pStyle w:val="1342"/>
              <w:jc w:val="left"/>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Требования</w:t>
              <w:br/>
              <w:t xml:space="preserve">к описанию продукции:</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5644" w:type="dxa"/>
            <w:textDirection w:val="lrTb"/>
            <w:noWrap w:val="false"/>
          </w:tcPr>
          <w:p>
            <w:pPr>
              <w:pStyle w:val="1342"/>
              <w:spacing w:before="60" w:after="60" w:line="240" w:lineRule="auto"/>
              <w:widowControl w:val="off"/>
            </w:pPr>
            <w:r>
              <w:rPr>
                <w:rFonts w:eastAsia="Calibri" w:cs="Arial"/>
                <w:sz w:val="26"/>
                <w:szCs w:val="22"/>
                <w:lang w:val="ru-RU" w:eastAsia="en-US" w:bidi="ar-SA"/>
              </w:rPr>
              <w:t xml:space="preserve">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 по параметрам эквивалентности, указанным в </w:t>
            </w:r>
            <w:hyperlink w:tooltip="#Прил01_ТехТребования" w:anchor="Прил01_ТехТребования" w:history="1">
              <w:r>
                <w:rPr>
                  <w:rStyle w:val="1311"/>
                  <w:rFonts w:eastAsia="Calibri" w:cs="Arial"/>
                  <w:sz w:val="26"/>
                  <w:szCs w:val="22"/>
                  <w:lang w:val="ru-RU" w:eastAsia="en-US" w:bidi="ar-SA"/>
                </w:rPr>
                <w:t xml:space="preserve">Технических требованиях (Приложение № 1)</w:t>
              </w:r>
            </w:hyperlink>
            <w:r>
              <w:rPr>
                <w:rFonts w:eastAsia="Calibri" w:cs="Arial"/>
                <w:sz w:val="26"/>
                <w:szCs w:val="22"/>
                <w:lang w:val="ru-RU" w:eastAsia="en-US" w:bidi="ar-SA"/>
              </w:rPr>
              <w:t xml:space="preserve">, – по установленной форме Технического предложения (форма 4) (</w:t>
            </w:r>
            <w:hyperlink w:tooltip="#Прил04_ФормыЗаявки" w:anchor="Прил04_ФормыЗаявки" w:history="1">
              <w:r>
                <w:rPr>
                  <w:rStyle w:val="1311"/>
                  <w:rFonts w:eastAsia="Calibri" w:cs="Arial"/>
                  <w:sz w:val="26"/>
                  <w:szCs w:val="22"/>
                  <w:lang w:val="ru-RU" w:eastAsia="en-US" w:bidi="ar-SA"/>
                </w:rPr>
                <w:t xml:space="preserve">Приложение № 4</w:t>
              </w:r>
            </w:hyperlink>
            <w:r>
              <w:rPr>
                <w:rFonts w:eastAsia="Calibri" w:cs="Arial"/>
                <w:sz w:val="26"/>
                <w:szCs w:val="22"/>
                <w:lang w:val="ru-RU" w:eastAsia="en-US" w:bidi="ar-SA"/>
              </w:rPr>
              <w:t xml:space="preserve">).</w:t>
            </w:r>
            <w:r/>
          </w:p>
        </w:tc>
      </w:tr>
      <w:tr>
        <w:tblPrEx/>
        <w:trPr/>
        <w:tc>
          <w:tcPr>
            <w:tcW w:w="837" w:type="dxa"/>
            <w:textDirection w:val="lrTb"/>
            <w:noWrap w:val="false"/>
          </w:tcPr>
          <w:p>
            <w:pPr>
              <w:pStyle w:val="1338"/>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3273" w:type="dxa"/>
            <w:textDirection w:val="lrTb"/>
            <w:noWrap w:val="false"/>
          </w:tcPr>
          <w:p>
            <w:pPr>
              <w:pStyle w:val="1342"/>
              <w:jc w:val="left"/>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Применение законодательства о национальном режиме:</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5644" w:type="dxa"/>
            <w:textDirection w:val="lrTb"/>
            <w:noWrap w:val="false"/>
          </w:tcPr>
          <w:p>
            <w:pPr>
              <w:pStyle w:val="1342"/>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Национальный режим не предоставляется.</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p>
            <w:pPr>
              <w:pStyle w:val="1342"/>
              <w:rPr>
                <w:b/>
                <w:bCs/>
              </w:rPr>
            </w:pPr>
            <w:r>
              <w:rPr>
                <w:b/>
                <w:bCs/>
              </w:rPr>
              <w:t xml:space="preserve">Установлен режим преимущества российской продукции (</w:t>
            </w:r>
            <w:r>
              <w:rPr>
                <w:b/>
                <w:bCs/>
              </w:rPr>
              <w:t xml:space="preserve">или ее части</w:t>
            </w:r>
            <w:r>
              <w:rPr>
                <w:b/>
                <w:bCs/>
              </w:rPr>
              <w:t xml:space="preserve">).</w:t>
            </w:r>
            <w:r>
              <w:rPr>
                <w:b/>
                <w:bCs/>
              </w:rPr>
            </w:r>
            <w:r>
              <w:rPr>
                <w:b/>
                <w:bCs/>
              </w:rPr>
            </w:r>
          </w:p>
          <w:p>
            <w:pPr>
              <w:pStyle w:val="1342"/>
              <w:spacing w:before="60" w:after="60" w:line="240" w:lineRule="auto"/>
              <w:widowControl w:val="off"/>
            </w:pPr>
            <w:r>
              <w:rPr>
                <w:rFonts w:eastAsia="Calibri" w:cs="Arial"/>
                <w:sz w:val="26"/>
                <w:szCs w:val="22"/>
                <w:lang w:val="ru-RU" w:eastAsia="en-US" w:bidi="ar-SA"/>
              </w:rPr>
              <w:t xml:space="preserve">Подробнее в отношении каждой позиции закупаемой продукции указано в Структуре НМЦ (в составе Коммерческого предложения (форма 3) (</w:t>
            </w:r>
            <w:hyperlink w:tooltip="#Прил04_ФормыЗаявки" w:anchor="Прил04_ФормыЗаявки" w:history="1">
              <w:r>
                <w:rPr>
                  <w:rStyle w:val="1311"/>
                  <w:rFonts w:eastAsia="Calibri" w:cs="Arial"/>
                  <w:sz w:val="26"/>
                  <w:szCs w:val="22"/>
                  <w:lang w:val="ru-RU" w:eastAsia="en-US" w:bidi="ar-SA"/>
                </w:rPr>
                <w:t xml:space="preserve">Приложение № 4</w:t>
              </w:r>
            </w:hyperlink>
            <w:r>
              <w:rPr>
                <w:rFonts w:eastAsia="Calibri" w:cs="Arial"/>
                <w:sz w:val="26"/>
                <w:szCs w:val="22"/>
                <w:lang w:val="ru-RU" w:eastAsia="en-US" w:bidi="ar-SA"/>
              </w:rPr>
              <w:t xml:space="preserve">)).</w:t>
            </w:r>
            <w:r/>
          </w:p>
        </w:tc>
      </w:tr>
      <w:tr>
        <w:tblPrEx/>
        <w:trPr/>
        <w:tc>
          <w:tcPr>
            <w:tcW w:w="837" w:type="dxa"/>
            <w:textDirection w:val="lrTb"/>
            <w:noWrap w:val="false"/>
          </w:tcPr>
          <w:p>
            <w:pPr>
              <w:pStyle w:val="1338"/>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r>
            <w:bookmarkStart w:id="38" w:name="_Ref125533737"/>
            <w:r/>
            <w:bookmarkEnd w:id="38"/>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3273" w:type="dxa"/>
            <w:textDirection w:val="lrTb"/>
            <w:noWrap w:val="false"/>
          </w:tcPr>
          <w:p>
            <w:pPr>
              <w:pStyle w:val="1271"/>
              <w:jc w:val="left"/>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Возможность подачи альтернативных предложений:</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5644" w:type="dxa"/>
            <w:textDirection w:val="lrTb"/>
            <w:noWrap w:val="false"/>
          </w:tcPr>
          <w:p>
            <w:pPr>
              <w:pStyle w:val="1342"/>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Не предусмотрена.</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r>
      <w:tr>
        <w:tblPrEx/>
        <w:trPr/>
        <w:tc>
          <w:tcPr>
            <w:tcW w:w="837" w:type="dxa"/>
            <w:textDirection w:val="lrTb"/>
            <w:noWrap w:val="false"/>
          </w:tcPr>
          <w:p>
            <w:pPr>
              <w:pStyle w:val="1338"/>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r>
            <w:bookmarkStart w:id="40" w:name="_Ref125475086"/>
            <w:r/>
            <w:bookmarkEnd w:id="40"/>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3273" w:type="dxa"/>
            <w:textDirection w:val="lrTb"/>
            <w:noWrap w:val="false"/>
          </w:tcPr>
          <w:p>
            <w:pPr>
              <w:pStyle w:val="1342"/>
              <w:jc w:val="left"/>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Место и порядок подачи заявок:</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5644" w:type="dxa"/>
            <w:textDirection w:val="lrTb"/>
            <w:noWrap w:val="false"/>
          </w:tcPr>
          <w:p>
            <w:pPr>
              <w:pStyle w:val="1342"/>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Заявки подаются посредством функционала ЭП, по адресу ЭП, указанному в пункте </w:t>
            </w:r>
            <w:r>
              <w:rPr>
                <w:rFonts w:eastAsia="Calibri" w:cs="Arial"/>
                <w:sz w:val="26"/>
                <w:szCs w:val="22"/>
                <w:lang w:val="ru-RU" w:eastAsia="en-US" w:bidi="ar-SA"/>
              </w:rPr>
              <w:fldChar w:fldCharType="begin"/>
            </w:r>
            <w:r>
              <w:rPr>
                <w:rFonts w:eastAsia="Calibri" w:cs="Arial"/>
                <w:sz w:val="26"/>
                <w:szCs w:val="22"/>
                <w:lang w:val="ru-RU" w:eastAsia="en-US" w:bidi="ar-SA"/>
              </w:rPr>
              <w:instrText xml:space="preserve"> REF _Ref125360764 \r \h </w:instrText>
            </w:r>
            <w:r>
              <w:rPr>
                <w:rFonts w:eastAsia="Calibri" w:cs="Arial"/>
                <w:sz w:val="26"/>
                <w:szCs w:val="22"/>
                <w:lang w:val="ru-RU" w:eastAsia="en-US" w:bidi="ar-SA"/>
              </w:rPr>
              <w:fldChar w:fldCharType="separate"/>
            </w:r>
            <w:r>
              <w:rPr>
                <w:rFonts w:eastAsia="Calibri" w:cs="Arial"/>
                <w:sz w:val="26"/>
                <w:szCs w:val="22"/>
                <w:lang w:val="ru-RU" w:eastAsia="en-US" w:bidi="ar-SA"/>
              </w:rPr>
              <w:t xml:space="preserve">1.2.5</w:t>
            </w:r>
            <w:r>
              <w:rPr>
                <w:rFonts w:eastAsia="Calibri" w:cs="Arial"/>
                <w:sz w:val="26"/>
                <w:szCs w:val="22"/>
                <w:lang w:val="ru-RU" w:eastAsia="en-US" w:bidi="ar-SA"/>
              </w:rPr>
              <w:fldChar w:fldCharType="end"/>
            </w:r>
            <w:r>
              <w:rPr>
                <w:rFonts w:eastAsia="Calibri" w:cs="Arial"/>
                <w:sz w:val="26"/>
                <w:szCs w:val="22"/>
                <w:lang w:val="ru-RU" w:eastAsia="en-US" w:bidi="ar-SA"/>
              </w:rPr>
              <w:t xml:space="preserve">.</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r>
      <w:tr>
        <w:tblPrEx/>
        <w:trPr/>
        <w:tc>
          <w:tcPr>
            <w:tcW w:w="837" w:type="dxa"/>
            <w:textDirection w:val="lrTb"/>
            <w:noWrap w:val="false"/>
          </w:tcPr>
          <w:p>
            <w:pPr>
              <w:pStyle w:val="1338"/>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r>
            <w:bookmarkStart w:id="42" w:name="_Ref125360779"/>
            <w:r/>
            <w:bookmarkEnd w:id="42"/>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3273" w:type="dxa"/>
            <w:textDirection w:val="lrTb"/>
            <w:noWrap w:val="false"/>
          </w:tcPr>
          <w:p>
            <w:pPr>
              <w:pStyle w:val="1342"/>
              <w:jc w:val="left"/>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Дата начала; дата и время окончания срока подачи заявок:</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5644" w:type="dxa"/>
            <w:textDirection w:val="lrTb"/>
            <w:noWrap w:val="false"/>
          </w:tcPr>
          <w:p>
            <w:pPr>
              <w:pStyle w:val="1342"/>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Дата начала подачи заявок:</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p>
            <w:pPr>
              <w:pStyle w:val="1342"/>
              <w:spacing w:before="60" w:after="60" w:line="240" w:lineRule="auto"/>
              <w:widowControl w:val="off"/>
              <w:rPr>
                <w:rFonts w:ascii="Times New Roman" w:hAnsi="Times New Roman" w:eastAsia="Calibri" w:cs="Arial"/>
                <w:sz w:val="26"/>
                <w:szCs w:val="22"/>
                <w:lang w:val="ru-RU" w:eastAsia="en-US" w:bidi="ar-SA"/>
              </w:rPr>
            </w:pPr>
            <w:r>
              <w:rPr>
                <w:rFonts w:eastAsia="Calibri" w:cs="Arial"/>
                <w:b/>
                <w:bCs/>
                <w:sz w:val="26"/>
                <w:szCs w:val="22"/>
                <w:lang w:val="ru-RU" w:eastAsia="en-US" w:bidi="ar-SA"/>
              </w:rPr>
              <w:t xml:space="preserve">«28» августа 2026 г</w:t>
            </w:r>
            <w:r>
              <w:rPr>
                <w:rFonts w:eastAsia="Calibri" w:cs="Arial"/>
                <w:sz w:val="26"/>
                <w:szCs w:val="22"/>
                <w:lang w:val="ru-RU" w:eastAsia="en-US" w:bidi="ar-SA"/>
              </w:rPr>
              <w:t xml:space="preserve">.</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p>
            <w:pPr>
              <w:pStyle w:val="1342"/>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Дата и время окончания срока подачи заявок:</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p>
            <w:pPr>
              <w:pStyle w:val="1342"/>
              <w:spacing w:before="60" w:after="60" w:line="240" w:lineRule="auto"/>
              <w:widowControl w:val="off"/>
              <w:rPr>
                <w:b/>
                <w:bCs/>
              </w:rPr>
            </w:pPr>
            <w:r>
              <w:rPr>
                <w:rFonts w:eastAsia="Calibri" w:cs="Arial"/>
                <w:b/>
                <w:bCs/>
                <w:sz w:val="26"/>
                <w:szCs w:val="22"/>
                <w:lang w:val="ru-RU" w:eastAsia="en-US" w:bidi="ar-SA"/>
              </w:rPr>
              <w:t xml:space="preserve">«15» сентября 2026 г. в 17 ч. 00 мин.</w:t>
            </w:r>
            <w:r>
              <w:rPr>
                <w:b/>
                <w:bCs/>
              </w:rPr>
            </w:r>
            <w:r>
              <w:rPr>
                <w:b/>
                <w:bCs/>
              </w:rPr>
            </w:r>
          </w:p>
          <w:p>
            <w:pPr>
              <w:pStyle w:val="1342"/>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(по местному времени Организатора).</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r>
      <w:tr>
        <w:tblPrEx/>
        <w:trPr/>
        <w:tc>
          <w:tcPr>
            <w:tcW w:w="837" w:type="dxa"/>
            <w:textDirection w:val="lrTb"/>
            <w:noWrap w:val="false"/>
          </w:tcPr>
          <w:p>
            <w:pPr>
              <w:pStyle w:val="1338"/>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3273" w:type="dxa"/>
            <w:textDirection w:val="lrTb"/>
            <w:noWrap w:val="false"/>
          </w:tcPr>
          <w:p>
            <w:pPr>
              <w:pStyle w:val="1342"/>
              <w:jc w:val="left"/>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Срок предоставления Участникам разъяснений Документации о закупке:</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5644" w:type="dxa"/>
            <w:textDirection w:val="lrTb"/>
            <w:noWrap w:val="false"/>
          </w:tcPr>
          <w:p>
            <w:pPr>
              <w:pStyle w:val="1342"/>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Дата и время окончания срока предоставления разъяснений:</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p>
            <w:pPr>
              <w:pStyle w:val="1342"/>
              <w:spacing w:before="60" w:after="60" w:line="240" w:lineRule="auto"/>
              <w:widowControl w:val="off"/>
              <w:rPr>
                <w:b/>
                <w:bCs/>
              </w:rPr>
            </w:pPr>
            <w:r>
              <w:rPr>
                <w:rFonts w:eastAsia="Calibri" w:cs="Arial"/>
                <w:b/>
                <w:bCs/>
                <w:sz w:val="26"/>
                <w:szCs w:val="22"/>
                <w:lang w:val="ru-RU" w:eastAsia="en-US" w:bidi="ar-SA"/>
              </w:rPr>
              <w:t xml:space="preserve">«15» сентября 2026 г. в 17 ч. 00 мин.</w:t>
            </w:r>
            <w:r>
              <w:rPr>
                <w:b/>
                <w:bCs/>
              </w:rPr>
            </w:r>
            <w:r>
              <w:rPr>
                <w:b/>
                <w:bCs/>
              </w:rPr>
            </w:r>
          </w:p>
          <w:p>
            <w:pPr>
              <w:pStyle w:val="1342"/>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(по местному времени Организатора).</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p>
            <w:pPr>
              <w:pStyle w:val="1342"/>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Организатор вправе не предоставлять разъяснение, если запрос от Участника поступил позднее чем за 3 (три) рабочих дня до даты окончания срока подачи заявок, установленной в пункте </w:t>
            </w:r>
            <w:r>
              <w:rPr>
                <w:rFonts w:eastAsia="Calibri" w:cs="Arial"/>
                <w:sz w:val="26"/>
                <w:szCs w:val="22"/>
                <w:lang w:val="ru-RU" w:eastAsia="en-US" w:bidi="ar-SA"/>
              </w:rPr>
              <w:fldChar w:fldCharType="begin"/>
            </w:r>
            <w:r>
              <w:rPr>
                <w:rFonts w:eastAsia="Calibri" w:cs="Arial"/>
                <w:sz w:val="26"/>
                <w:szCs w:val="22"/>
                <w:lang w:val="ru-RU" w:eastAsia="en-US" w:bidi="ar-SA"/>
              </w:rPr>
              <w:instrText xml:space="preserve"> REF _Ref125360779 \r \h </w:instrText>
            </w:r>
            <w:r>
              <w:rPr>
                <w:rFonts w:eastAsia="Calibri" w:cs="Arial"/>
                <w:sz w:val="26"/>
                <w:szCs w:val="22"/>
                <w:lang w:val="ru-RU" w:eastAsia="en-US" w:bidi="ar-SA"/>
              </w:rPr>
              <w:fldChar w:fldCharType="separate"/>
            </w:r>
            <w:r>
              <w:rPr>
                <w:rFonts w:eastAsia="Calibri" w:cs="Arial"/>
                <w:sz w:val="26"/>
                <w:szCs w:val="22"/>
                <w:lang w:val="ru-RU" w:eastAsia="en-US" w:bidi="ar-SA"/>
              </w:rPr>
              <w:t xml:space="preserve">1.2.18</w:t>
            </w:r>
            <w:r>
              <w:rPr>
                <w:rFonts w:eastAsia="Calibri" w:cs="Arial"/>
                <w:sz w:val="26"/>
                <w:szCs w:val="22"/>
                <w:lang w:val="ru-RU" w:eastAsia="en-US" w:bidi="ar-SA"/>
              </w:rPr>
              <w:fldChar w:fldCharType="end"/>
            </w:r>
            <w:r>
              <w:rPr>
                <w:rFonts w:eastAsia="Calibri" w:cs="Arial"/>
                <w:sz w:val="26"/>
                <w:szCs w:val="22"/>
                <w:lang w:val="ru-RU" w:eastAsia="en-US" w:bidi="ar-SA"/>
              </w:rPr>
              <w:t xml:space="preserve">.</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r>
      <w:tr>
        <w:tblPrEx/>
        <w:trPr/>
        <w:tc>
          <w:tcPr>
            <w:tcW w:w="837" w:type="dxa"/>
            <w:textDirection w:val="lrTb"/>
            <w:noWrap w:val="false"/>
          </w:tcPr>
          <w:p>
            <w:pPr>
              <w:pStyle w:val="1338"/>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r>
            <w:bookmarkStart w:id="44" w:name="_Ref125476197"/>
            <w:r/>
            <w:bookmarkEnd w:id="44"/>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3273" w:type="dxa"/>
            <w:textDirection w:val="lrTb"/>
            <w:noWrap w:val="false"/>
          </w:tcPr>
          <w:p>
            <w:pPr>
              <w:pStyle w:val="1342"/>
              <w:jc w:val="left"/>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Место открытия</w:t>
              <w:br/>
              <w:t xml:space="preserve">доступа к заявкам:</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5644" w:type="dxa"/>
            <w:textDirection w:val="lrTb"/>
            <w:noWrap w:val="false"/>
          </w:tcPr>
          <w:p>
            <w:pPr>
              <w:pStyle w:val="1342"/>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Открытие доступа к заявкам осуществляется автоматически на ЭП, расположенной по адресу согласно пункту </w:t>
            </w:r>
            <w:r>
              <w:rPr>
                <w:rFonts w:eastAsia="Calibri" w:cs="Arial"/>
                <w:sz w:val="26"/>
                <w:szCs w:val="22"/>
                <w:lang w:val="ru-RU" w:eastAsia="en-US" w:bidi="ar-SA"/>
              </w:rPr>
              <w:fldChar w:fldCharType="begin"/>
            </w:r>
            <w:r>
              <w:rPr>
                <w:rFonts w:eastAsia="Calibri" w:cs="Arial"/>
                <w:sz w:val="26"/>
                <w:szCs w:val="22"/>
                <w:lang w:val="ru-RU" w:eastAsia="en-US" w:bidi="ar-SA"/>
              </w:rPr>
              <w:instrText xml:space="preserve"> REF _Ref125360764 \r \h </w:instrText>
            </w:r>
            <w:r>
              <w:rPr>
                <w:rFonts w:eastAsia="Calibri" w:cs="Arial"/>
                <w:sz w:val="26"/>
                <w:szCs w:val="22"/>
                <w:lang w:val="ru-RU" w:eastAsia="en-US" w:bidi="ar-SA"/>
              </w:rPr>
              <w:fldChar w:fldCharType="separate"/>
            </w:r>
            <w:r>
              <w:rPr>
                <w:rFonts w:eastAsia="Calibri" w:cs="Arial"/>
                <w:sz w:val="26"/>
                <w:szCs w:val="22"/>
                <w:lang w:val="ru-RU" w:eastAsia="en-US" w:bidi="ar-SA"/>
              </w:rPr>
              <w:t xml:space="preserve">1.2.5</w:t>
            </w:r>
            <w:r>
              <w:rPr>
                <w:rFonts w:eastAsia="Calibri" w:cs="Arial"/>
                <w:sz w:val="26"/>
                <w:szCs w:val="22"/>
                <w:lang w:val="ru-RU" w:eastAsia="en-US" w:bidi="ar-SA"/>
              </w:rPr>
              <w:fldChar w:fldCharType="end"/>
            </w:r>
            <w:r>
              <w:rPr>
                <w:rFonts w:eastAsia="Calibri" w:cs="Arial"/>
                <w:sz w:val="26"/>
                <w:szCs w:val="22"/>
                <w:lang w:val="ru-RU" w:eastAsia="en-US" w:bidi="ar-SA"/>
              </w:rPr>
              <w:t xml:space="preserve">.</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r>
      <w:tr>
        <w:tblPrEx/>
        <w:trPr/>
        <w:tc>
          <w:tcPr>
            <w:tcW w:w="837" w:type="dxa"/>
            <w:textDirection w:val="lrTb"/>
            <w:noWrap w:val="false"/>
          </w:tcPr>
          <w:p>
            <w:pPr>
              <w:pStyle w:val="1338"/>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r>
            <w:bookmarkStart w:id="46" w:name="_Ref125362733"/>
            <w:r/>
            <w:bookmarkEnd w:id="46"/>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3273" w:type="dxa"/>
            <w:textDirection w:val="lrTb"/>
            <w:noWrap w:val="false"/>
          </w:tcPr>
          <w:p>
            <w:pPr>
              <w:pStyle w:val="1342"/>
              <w:jc w:val="left"/>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Дата окончания рассмотрения заявок:</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5644" w:type="dxa"/>
            <w:textDirection w:val="lrTb"/>
            <w:noWrap w:val="false"/>
          </w:tcPr>
          <w:p>
            <w:pPr>
              <w:pStyle w:val="1342"/>
              <w:spacing w:before="60" w:after="60" w:line="240" w:lineRule="auto"/>
              <w:widowControl w:val="off"/>
              <w:rPr>
                <w:b/>
                <w:bCs/>
              </w:rPr>
            </w:pPr>
            <w:r>
              <w:rPr>
                <w:rFonts w:eastAsia="Calibri" w:cs="Arial"/>
                <w:b/>
                <w:bCs/>
                <w:sz w:val="26"/>
                <w:szCs w:val="22"/>
                <w:lang w:val="ru-RU" w:eastAsia="en-US" w:bidi="ar-SA"/>
              </w:rPr>
              <w:t xml:space="preserve">«0</w:t>
            </w:r>
            <w:r>
              <w:rPr>
                <w:rFonts w:eastAsia="Calibri" w:cs="Arial"/>
                <w:b/>
                <w:bCs/>
                <w:sz w:val="26"/>
                <w:szCs w:val="22"/>
                <w:lang w:val="ru-RU" w:eastAsia="en-US" w:bidi="ar-SA"/>
              </w:rPr>
              <w:t xml:space="preserve">2</w:t>
            </w:r>
            <w:r>
              <w:rPr>
                <w:rFonts w:eastAsia="Calibri" w:cs="Arial"/>
                <w:b/>
                <w:bCs/>
                <w:sz w:val="26"/>
                <w:szCs w:val="22"/>
                <w:lang w:val="ru-RU" w:eastAsia="en-US" w:bidi="ar-SA"/>
              </w:rPr>
              <w:t xml:space="preserve">» </w:t>
            </w:r>
            <w:r>
              <w:rPr>
                <w:rFonts w:eastAsia="Calibri" w:cs="Arial"/>
                <w:b/>
                <w:bCs/>
                <w:sz w:val="26"/>
                <w:szCs w:val="22"/>
                <w:lang w:val="ru-RU" w:eastAsia="en-US" w:bidi="ar-SA"/>
              </w:rPr>
              <w:t xml:space="preserve">ок</w:t>
            </w:r>
            <w:r>
              <w:rPr>
                <w:rFonts w:eastAsia="Calibri" w:cs="Arial"/>
                <w:b/>
                <w:bCs/>
                <w:sz w:val="26"/>
                <w:szCs w:val="22"/>
                <w:lang w:val="ru-RU" w:eastAsia="en-US" w:bidi="ar-SA"/>
              </w:rPr>
              <w:t xml:space="preserve">тября 2026 г.</w:t>
            </w:r>
            <w:r>
              <w:rPr>
                <w:b/>
                <w:bCs/>
              </w:rPr>
            </w:r>
            <w:r>
              <w:rPr>
                <w:b/>
                <w:bCs/>
              </w:rPr>
            </w:r>
          </w:p>
        </w:tc>
      </w:tr>
      <w:tr>
        <w:tblPrEx/>
        <w:trPr/>
        <w:tc>
          <w:tcPr>
            <w:tcW w:w="837" w:type="dxa"/>
            <w:textDirection w:val="lrTb"/>
            <w:noWrap w:val="false"/>
          </w:tcPr>
          <w:p>
            <w:pPr>
              <w:pStyle w:val="1338"/>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3273" w:type="dxa"/>
            <w:textDirection w:val="lrTb"/>
            <w:noWrap w:val="false"/>
          </w:tcPr>
          <w:p>
            <w:pPr>
              <w:pStyle w:val="1342"/>
              <w:jc w:val="left"/>
              <w:spacing w:before="60" w:after="60" w:line="240" w:lineRule="auto"/>
              <w:widowControl w:val="off"/>
              <w:rPr>
                <w:b/>
                <w:bCs/>
                <w:color w:val="000000"/>
              </w:rPr>
            </w:pPr>
            <w:r>
              <w:rPr>
                <w:rFonts w:eastAsia="Calibri" w:cs="Arial"/>
                <w:b/>
                <w:bCs/>
                <w:color w:val="000000"/>
                <w:sz w:val="26"/>
                <w:szCs w:val="22"/>
                <w:lang w:val="ru-RU" w:eastAsia="en-US" w:bidi="ar-SA"/>
              </w:rPr>
              <w:t xml:space="preserve">Возможность проведения процедуры переторжки:</w:t>
            </w:r>
            <w:r>
              <w:rPr>
                <w:b/>
                <w:bCs/>
                <w:color w:val="000000"/>
              </w:rPr>
            </w:r>
            <w:r>
              <w:rPr>
                <w:b/>
                <w:bCs/>
                <w:color w:val="000000"/>
              </w:rPr>
            </w:r>
          </w:p>
        </w:tc>
        <w:tc>
          <w:tcPr>
            <w:tcW w:w="5644" w:type="dxa"/>
            <w:textDirection w:val="lrTb"/>
            <w:noWrap w:val="false"/>
          </w:tcPr>
          <w:p>
            <w:pPr>
              <w:pStyle w:val="1342"/>
              <w:spacing w:before="60" w:after="60" w:line="240" w:lineRule="auto"/>
              <w:widowControl w:val="off"/>
              <w:rPr>
                <w:b/>
                <w:bCs/>
                <w:color w:val="000000"/>
              </w:rPr>
            </w:pPr>
            <w:r>
              <w:rPr>
                <w:b/>
                <w:bCs/>
                <w:color w:val="000000"/>
              </w:rPr>
            </w:r>
            <w:r>
              <w:rPr>
                <w:b/>
                <w:bCs/>
              </w:rPr>
              <w:t xml:space="preserve">Не предусмотрено.</w:t>
            </w:r>
            <w:r>
              <w:rPr>
                <w:b/>
                <w:bCs/>
                <w:color w:val="000000"/>
              </w:rPr>
            </w:r>
            <w:r>
              <w:rPr>
                <w:b/>
                <w:bCs/>
                <w:color w:val="000000"/>
              </w:rPr>
            </w:r>
          </w:p>
        </w:tc>
      </w:tr>
      <w:tr>
        <w:tblPrEx/>
        <w:trPr/>
        <w:tc>
          <w:tcPr>
            <w:tcW w:w="837" w:type="dxa"/>
            <w:textDirection w:val="lrTb"/>
            <w:noWrap w:val="false"/>
          </w:tcPr>
          <w:p>
            <w:pPr>
              <w:pStyle w:val="1338"/>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r>
            <w:bookmarkStart w:id="48" w:name="_Ref125362757"/>
            <w:r/>
            <w:bookmarkEnd w:id="48"/>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3273" w:type="dxa"/>
            <w:textDirection w:val="lrTb"/>
            <w:noWrap w:val="false"/>
          </w:tcPr>
          <w:p>
            <w:pPr>
              <w:pStyle w:val="1342"/>
              <w:jc w:val="left"/>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Дата подведения</w:t>
              <w:br/>
              <w:t xml:space="preserve">итогов закупки:</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5644" w:type="dxa"/>
            <w:textDirection w:val="lrTb"/>
            <w:noWrap w:val="false"/>
          </w:tcPr>
          <w:p>
            <w:pPr>
              <w:pStyle w:val="1342"/>
              <w:spacing w:before="60" w:after="60" w:line="240" w:lineRule="auto"/>
              <w:widowControl w:val="off"/>
              <w:rPr>
                <w:b/>
                <w:bCs/>
              </w:rPr>
            </w:pPr>
            <w:r>
              <w:rPr>
                <w:rFonts w:eastAsia="Calibri" w:cs="Arial"/>
                <w:b/>
                <w:bCs/>
                <w:sz w:val="26"/>
                <w:szCs w:val="22"/>
                <w:lang w:val="ru-RU" w:eastAsia="en-US" w:bidi="ar-SA"/>
              </w:rPr>
              <w:t xml:space="preserve">«</w:t>
            </w:r>
            <w:r>
              <w:rPr>
                <w:rFonts w:eastAsia="Calibri" w:cs="Arial"/>
                <w:b/>
                <w:bCs/>
                <w:sz w:val="26"/>
                <w:szCs w:val="22"/>
                <w:lang w:val="ru-RU" w:eastAsia="en-US" w:bidi="ar-SA"/>
              </w:rPr>
              <w:t xml:space="preserve">02</w:t>
            </w:r>
            <w:r>
              <w:rPr>
                <w:rFonts w:eastAsia="Calibri" w:cs="Arial"/>
                <w:b/>
                <w:bCs/>
                <w:sz w:val="26"/>
                <w:szCs w:val="22"/>
                <w:lang w:val="ru-RU" w:eastAsia="en-US" w:bidi="ar-SA"/>
              </w:rPr>
              <w:t xml:space="preserve">» октября 2026 г.</w:t>
            </w:r>
            <w:r>
              <w:rPr>
                <w:b/>
                <w:bCs/>
              </w:rPr>
            </w:r>
            <w:r>
              <w:rPr>
                <w:b/>
                <w:bCs/>
              </w:rPr>
            </w:r>
          </w:p>
        </w:tc>
      </w:tr>
      <w:tr>
        <w:tblPrEx/>
        <w:trPr/>
        <w:tc>
          <w:tcPr>
            <w:tcW w:w="837" w:type="dxa"/>
            <w:vMerge w:val="restart"/>
            <w:textDirection w:val="lrTb"/>
            <w:noWrap w:val="false"/>
          </w:tcPr>
          <w:p>
            <w:pPr>
              <w:pStyle w:val="1338"/>
              <w:spacing w:before="60" w:after="60" w:line="240" w:lineRule="auto"/>
              <w:widowControl w:val="off"/>
              <w:rPr>
                <w:rFonts w:eastAsia="Calibri" w:cs="Arial"/>
                <w:sz w:val="26"/>
                <w:szCs w:val="22"/>
                <w:lang w:val="ru-RU" w:eastAsia="en-US" w:bidi="ar-SA"/>
              </w:rPr>
            </w:pPr>
            <w:r>
              <w:rPr>
                <w:rFonts w:eastAsia="Calibri" w:cs="Arial"/>
                <w:sz w:val="26"/>
                <w:szCs w:val="22"/>
                <w:lang w:val="ru-RU" w:eastAsia="en-US" w:bidi="ar-SA"/>
              </w:rPr>
            </w:r>
            <w:r>
              <w:rPr>
                <w:rFonts w:eastAsia="Calibri" w:cs="Arial"/>
                <w:sz w:val="26"/>
                <w:szCs w:val="22"/>
                <w:lang w:val="ru-RU" w:eastAsia="en-US" w:bidi="ar-SA"/>
              </w:rPr>
            </w:r>
            <w:r>
              <w:rPr>
                <w:rFonts w:eastAsia="Calibri" w:cs="Arial"/>
                <w:sz w:val="26"/>
                <w:szCs w:val="22"/>
                <w:lang w:val="ru-RU" w:eastAsia="en-US" w:bidi="ar-SA"/>
              </w:rPr>
            </w:r>
          </w:p>
        </w:tc>
        <w:tc>
          <w:tcPr>
            <w:tcW w:w="3273" w:type="dxa"/>
            <w:vMerge w:val="restart"/>
            <w:textDirection w:val="lrTb"/>
            <w:noWrap w:val="false"/>
          </w:tcPr>
          <w:p>
            <w:pPr>
              <w:pStyle w:val="1342"/>
              <w:jc w:val="left"/>
            </w:pPr>
            <w:r>
              <w:t xml:space="preserve">Преференция продукции, изготовленной с</w:t>
            </w:r>
            <w:r>
              <w:t xml:space="preserve"> </w:t>
            </w:r>
            <w:r>
              <w:t xml:space="preserve">использованием российского алюминия </w:t>
            </w:r>
            <w:r>
              <w:t xml:space="preserve">и</w:t>
            </w:r>
            <w:r>
              <w:t xml:space="preserve"> (</w:t>
            </w:r>
            <w:r>
              <w:t xml:space="preserve">или</w:t>
            </w:r>
            <w:r>
              <w:t xml:space="preserve">)</w:t>
            </w:r>
            <w:r>
              <w:t xml:space="preserve"> алюминиевых полуфабрикатов</w:t>
            </w:r>
            <w:r>
              <w:t xml:space="preserve">:</w:t>
            </w:r>
            <w:r/>
          </w:p>
        </w:tc>
        <w:tc>
          <w:tcPr>
            <w:tcW w:w="5644" w:type="dxa"/>
            <w:vMerge w:val="restart"/>
            <w:textDirection w:val="lrTb"/>
            <w:noWrap w:val="false"/>
          </w:tcPr>
          <w:p>
            <w:pPr>
              <w:pStyle w:val="1342"/>
            </w:pPr>
            <w:r>
              <w:t xml:space="preserve">Не предоставляется</w:t>
            </w:r>
            <w:r>
              <w:t xml:space="preserve">.</w:t>
            </w:r>
            <w:r/>
          </w:p>
        </w:tc>
      </w:tr>
      <w:tr>
        <w:tblPrEx/>
        <w:trPr/>
        <w:tc>
          <w:tcPr>
            <w:tcW w:w="837" w:type="dxa"/>
            <w:textDirection w:val="lrTb"/>
            <w:noWrap w:val="false"/>
          </w:tcPr>
          <w:p>
            <w:pPr>
              <w:pStyle w:val="1338"/>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r>
            <w:bookmarkStart w:id="50" w:name="_Ref125361769"/>
            <w:r/>
            <w:bookmarkEnd w:id="50"/>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3273" w:type="dxa"/>
            <w:textDirection w:val="lrTb"/>
            <w:noWrap w:val="false"/>
          </w:tcPr>
          <w:p>
            <w:pPr>
              <w:pStyle w:val="1342"/>
              <w:jc w:val="left"/>
            </w:pPr>
            <w:r>
              <w:t xml:space="preserve">Рассмотрение</w:t>
            </w:r>
            <w:r>
              <w:t xml:space="preserve">,</w:t>
            </w:r>
            <w:r>
              <w:t xml:space="preserve"> оценка</w:t>
            </w:r>
            <w:r>
              <w:t xml:space="preserve"> и сопоставление</w:t>
            </w:r>
            <w:r>
              <w:t xml:space="preserve"> заявок Участников с</w:t>
            </w:r>
            <w:r>
              <w:t xml:space="preserve"> </w:t>
            </w:r>
            <w:r>
              <w:t xml:space="preserve">учетом привлекаемых субподрядчиков</w:t>
            </w:r>
            <w:r>
              <w:t xml:space="preserve">:</w:t>
            </w:r>
            <w:r/>
          </w:p>
        </w:tc>
        <w:tc>
          <w:tcPr>
            <w:tcW w:w="5644" w:type="dxa"/>
            <w:textDirection w:val="lrTb"/>
            <w:noWrap w:val="false"/>
          </w:tcPr>
          <w:p>
            <w:pPr>
              <w:pStyle w:val="1342"/>
            </w:pPr>
            <w:r>
              <w:t xml:space="preserve">Не предусмотрено.</w:t>
            </w:r>
            <w:r/>
          </w:p>
          <w:p>
            <w:pPr>
              <w:pStyle w:val="1359"/>
            </w:pPr>
            <w:r/>
            <w:r/>
          </w:p>
        </w:tc>
      </w:tr>
      <w:tr>
        <w:tblPrEx/>
        <w:trPr/>
        <w:tc>
          <w:tcPr>
            <w:tcW w:w="837" w:type="dxa"/>
            <w:textDirection w:val="lrTb"/>
            <w:noWrap w:val="false"/>
          </w:tcPr>
          <w:p>
            <w:pPr>
              <w:pStyle w:val="1338"/>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3273" w:type="dxa"/>
            <w:textDirection w:val="lrTb"/>
            <w:noWrap w:val="false"/>
          </w:tcPr>
          <w:p>
            <w:pPr>
              <w:pStyle w:val="1342"/>
              <w:jc w:val="left"/>
            </w:pPr>
            <w:r>
              <w:t xml:space="preserve">Порядок подведения</w:t>
            </w:r>
            <w:r>
              <w:br/>
              <w:t xml:space="preserve">итогов закупки:</w:t>
            </w:r>
            <w:r/>
          </w:p>
        </w:tc>
        <w:tc>
          <w:tcPr>
            <w:tcW w:w="5644" w:type="dxa"/>
            <w:textDirection w:val="lrTb"/>
            <w:noWrap w:val="false"/>
          </w:tcPr>
          <w:p>
            <w:pPr>
              <w:pStyle w:val="1342"/>
            </w:pPr>
            <w:r>
              <w:t xml:space="preserve">Победителем закупки признается Участник, заявка которого соответствует требованиям Документации о</w:t>
            </w:r>
            <w:r>
              <w:t xml:space="preserve"> </w:t>
            </w:r>
            <w:r>
              <w:t xml:space="preserve">закупке и содержит лучшие условия исполнения Договора на основании установленных критериев оценки согласно Документации о закупке.</w:t>
            </w:r>
            <w:r/>
          </w:p>
        </w:tc>
      </w:tr>
      <w:tr>
        <w:tblPrEx/>
        <w:trPr/>
        <w:tc>
          <w:tcPr>
            <w:tcW w:w="837" w:type="dxa"/>
            <w:textDirection w:val="lrTb"/>
            <w:noWrap w:val="false"/>
          </w:tcPr>
          <w:p>
            <w:pPr>
              <w:pStyle w:val="1338"/>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r>
            <w:bookmarkStart w:id="52" w:name="_Ref125366606"/>
            <w:r/>
            <w:bookmarkEnd w:id="52"/>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3273" w:type="dxa"/>
            <w:textDirection w:val="lrTb"/>
            <w:noWrap w:val="false"/>
          </w:tcPr>
          <w:p>
            <w:pPr>
              <w:pStyle w:val="1342"/>
              <w:jc w:val="left"/>
            </w:pPr>
            <w:r>
              <w:t xml:space="preserve">Количество победителей закупки (в рамках одного лота)</w:t>
            </w:r>
            <w:r>
              <w:t xml:space="preserve">:</w:t>
            </w:r>
            <w:r/>
          </w:p>
        </w:tc>
        <w:tc>
          <w:tcPr>
            <w:tcW w:w="5644" w:type="dxa"/>
            <w:textDirection w:val="lrTb"/>
            <w:noWrap w:val="false"/>
          </w:tcPr>
          <w:p>
            <w:pPr>
              <w:pStyle w:val="1342"/>
            </w:pPr>
            <w:r>
              <w:t xml:space="preserve">Один победитель.</w:t>
            </w:r>
            <w:r/>
          </w:p>
        </w:tc>
      </w:tr>
      <w:tr>
        <w:tblPrEx/>
        <w:trPr/>
        <w:tc>
          <w:tcPr>
            <w:tcW w:w="837" w:type="dxa"/>
            <w:textDirection w:val="lrTb"/>
            <w:noWrap w:val="false"/>
          </w:tcPr>
          <w:p>
            <w:pPr>
              <w:pStyle w:val="1338"/>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r>
            <w:bookmarkStart w:id="54" w:name="_Ref125533374"/>
            <w:r/>
            <w:bookmarkEnd w:id="54"/>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3273" w:type="dxa"/>
            <w:textDirection w:val="lrTb"/>
            <w:noWrap w:val="false"/>
          </w:tcPr>
          <w:p>
            <w:pPr>
              <w:pStyle w:val="1342"/>
              <w:jc w:val="left"/>
            </w:pPr>
            <w:r>
              <w:t xml:space="preserve">Форма заключения Договора</w:t>
            </w:r>
            <w:r>
              <w:t xml:space="preserve">:</w:t>
            </w:r>
            <w:r/>
          </w:p>
        </w:tc>
        <w:tc>
          <w:tcPr>
            <w:tcW w:w="5644" w:type="dxa"/>
            <w:textDirection w:val="lrTb"/>
            <w:noWrap w:val="false"/>
          </w:tcPr>
          <w:p>
            <w:pPr>
              <w:pStyle w:val="1342"/>
            </w:pPr>
            <w:r>
              <w:t xml:space="preserve">В бумажной или электронной форме (подробный порядок заключения Договора содержится в разделе </w:t>
            </w:r>
            <w:r>
              <w:fldChar w:fldCharType="begin"/>
            </w:r>
            <w:r>
              <w:instrText xml:space="preserve"> REF _Ref126142429 \r \h </w:instrText>
            </w:r>
            <w:r>
              <w:fldChar w:fldCharType="separate"/>
            </w:r>
            <w:r>
              <w:t xml:space="preserve">5</w:t>
            </w:r>
            <w:r>
              <w:fldChar w:fldCharType="end"/>
            </w:r>
            <w:r>
              <w:t xml:space="preserve">).</w:t>
            </w:r>
            <w:r/>
          </w:p>
          <w:p>
            <w:pPr>
              <w:pStyle w:val="1342"/>
            </w:pPr>
            <w:r>
              <w:t xml:space="preserve">Если договор будет заключаться в электронной форме посредством информационной системы электронного документооборота </w:t>
            </w:r>
            <w:r>
              <w:rPr>
                <w:i w:val="0"/>
                <w:iCs w:val="0"/>
                <w:sz w:val="26"/>
                <w:szCs w:val="26"/>
                <w:highlight w:val="white"/>
              </w:rPr>
              <w:t xml:space="preserve">Системы ЭДО - Контур</w:t>
            </w:r>
            <w:r>
              <w:t xml:space="preserve">, </w:t>
            </w:r>
            <w:r>
              <w:rPr>
                <w:i w:val="0"/>
                <w:iCs w:val="0"/>
                <w:sz w:val="26"/>
                <w:szCs w:val="26"/>
                <w:highlight w:val="white"/>
              </w:rPr>
              <w:t xml:space="preserve">Диадок система электронного юридически значимого документооборота (https://diadoc.kontur.ru)</w:t>
            </w:r>
            <w:r>
              <w:t xml:space="preserve">,</w:t>
            </w:r>
            <w:r>
              <w:t xml:space="preserve"> то П</w:t>
            </w:r>
            <w:r>
              <w:t xml:space="preserve">обедителю будет необходимо заключить соглашение с оператором информационной системы электронного документооборота, посредством которой Победитель будет осуществлять обмен договорными документами в электронной форме. Для заключения договора необходимо налич</w:t>
            </w:r>
            <w:r>
              <w:t xml:space="preserve">ие у Победителя усиленной квалифицированной электронной подписи, выданной аккредитованным удостоверяющим центром. Победителю будет необходимо принять приглашение о переходе на электронный юридически значимый документооборот посредством акцепта полученного </w:t>
            </w:r>
            <w:r>
              <w:t xml:space="preserve">от используемой Заказчиком системы электронного документооборота соответствующего соглашения, направленного Заказчиком.</w:t>
            </w:r>
            <w:r/>
          </w:p>
        </w:tc>
      </w:tr>
      <w:tr>
        <w:tblPrEx/>
        <w:trPr/>
        <w:tc>
          <w:tcPr>
            <w:tcW w:w="837" w:type="dxa"/>
            <w:textDirection w:val="lrTb"/>
            <w:noWrap w:val="false"/>
          </w:tcPr>
          <w:p>
            <w:pPr>
              <w:pStyle w:val="1338"/>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r>
            <w:bookmarkStart w:id="56" w:name="_Ref125366813"/>
            <w:r/>
            <w:bookmarkEnd w:id="56"/>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3273" w:type="dxa"/>
            <w:textDirection w:val="lrTb"/>
            <w:noWrap w:val="false"/>
          </w:tcPr>
          <w:p>
            <w:pPr>
              <w:pStyle w:val="1342"/>
              <w:jc w:val="left"/>
            </w:pPr>
            <w:r>
              <w:t xml:space="preserve">Место подачи документов в</w:t>
            </w:r>
            <w:r>
              <w:t xml:space="preserve"> </w:t>
            </w:r>
            <w:r>
              <w:t xml:space="preserve">отношении цепочки собственников, включая конечных бенефициаров</w:t>
            </w:r>
            <w:r>
              <w:t xml:space="preserve">:</w:t>
            </w:r>
            <w:r/>
          </w:p>
        </w:tc>
        <w:tc>
          <w:tcPr>
            <w:tcW w:w="5644" w:type="dxa"/>
            <w:textDirection w:val="lrTb"/>
            <w:noWrap w:val="false"/>
          </w:tcPr>
          <w:p>
            <w:pPr>
              <w:ind w:left="0" w:right="0" w:firstLine="0"/>
              <w:rPr>
                <w:b w:val="0"/>
                <w:bCs w:val="0"/>
                <w:sz w:val="28"/>
                <w:szCs w:val="28"/>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val="0"/>
                <w:bCs w:val="0"/>
                <w:color w:val="000000"/>
                <w:sz w:val="28"/>
                <w:szCs w:val="28"/>
              </w:rPr>
              <w:t xml:space="preserve">Канцелярия АО «ДГК»</w:t>
            </w:r>
            <w:r>
              <w:rPr>
                <w:b w:val="0"/>
                <w:bCs w:val="0"/>
                <w:sz w:val="28"/>
                <w:szCs w:val="28"/>
              </w:rPr>
            </w:r>
            <w:r>
              <w:rPr>
                <w:b w:val="0"/>
                <w:bCs w:val="0"/>
                <w:sz w:val="28"/>
                <w:szCs w:val="28"/>
              </w:rPr>
            </w:r>
          </w:p>
          <w:p>
            <w:pPr>
              <w:pStyle w:val="1368"/>
              <w:jc w:val="left"/>
              <w:spacing w:after="120"/>
              <w:rPr>
                <w:b w:val="0"/>
                <w:bCs w:val="0"/>
                <w:sz w:val="28"/>
                <w:szCs w:val="28"/>
              </w:rPr>
            </w:pPr>
            <w:r>
              <w:rPr>
                <w:rFonts w:ascii="Times New Roman" w:hAnsi="Times New Roman" w:eastAsia="Times New Roman" w:cs="Times New Roman"/>
                <w:b w:val="0"/>
                <w:bCs w:val="0"/>
                <w:color w:val="000000"/>
                <w:sz w:val="28"/>
                <w:szCs w:val="28"/>
              </w:rPr>
              <w:t xml:space="preserve">Почтовый адрес: </w:t>
            </w:r>
            <w:r>
              <w:rPr>
                <w:rFonts w:ascii="Times New Roman" w:hAnsi="Times New Roman" w:eastAsia="Times New Roman" w:cs="Times New Roman"/>
                <w:b w:val="0"/>
                <w:bCs w:val="0"/>
                <w:color w:val="000000"/>
                <w:sz w:val="28"/>
                <w:szCs w:val="28"/>
              </w:rPr>
              <w:t xml:space="preserve">680000 г. Хабаровск ул. Фрунзе, 49,</w:t>
            </w:r>
            <w:r>
              <w:rPr>
                <w:rFonts w:ascii="Times New Roman" w:hAnsi="Times New Roman" w:eastAsia="Times New Roman" w:cs="Times New Roman"/>
                <w:b w:val="0"/>
                <w:bCs w:val="0"/>
                <w:color w:val="000000"/>
                <w:sz w:val="28"/>
                <w:szCs w:val="28"/>
              </w:rPr>
              <w:t xml:space="preserve">тел. (4212) 26-42-43,  (4212) 26-43-63 </w:t>
            </w:r>
            <w:r>
              <w:rPr>
                <w:rFonts w:ascii="Times New Roman" w:hAnsi="Times New Roman" w:eastAsia="Times New Roman" w:cs="Times New Roman"/>
                <w:b w:val="0"/>
                <w:bCs w:val="0"/>
                <w:color w:val="000000"/>
                <w:sz w:val="28"/>
                <w:szCs w:val="28"/>
              </w:rPr>
              <w:t xml:space="preserve">контактное лицо указать: </w:t>
            </w:r>
            <w:r>
              <w:rPr>
                <w:rFonts w:ascii="Times New Roman" w:hAnsi="Times New Roman" w:eastAsia="Times New Roman" w:cs="Times New Roman"/>
                <w:b w:val="0"/>
                <w:bCs w:val="0"/>
                <w:color w:val="000000"/>
                <w:sz w:val="28"/>
                <w:szCs w:val="28"/>
              </w:rPr>
              <w:t xml:space="preserve">«</w:t>
            </w:r>
            <w:r>
              <w:rPr>
                <w:rFonts w:ascii="Times New Roman" w:hAnsi="Times New Roman" w:eastAsia="Times New Roman" w:cs="Times New Roman"/>
                <w:b w:val="0"/>
                <w:bCs w:val="0"/>
                <w:color w:val="000000"/>
                <w:sz w:val="28"/>
                <w:szCs w:val="28"/>
              </w:rPr>
              <w:t xml:space="preserve">для</w:t>
            </w:r>
            <w:r>
              <w:rPr>
                <w:b w:val="0"/>
                <w:bCs w:val="0"/>
                <w:sz w:val="28"/>
                <w:szCs w:val="28"/>
              </w:rPr>
              <w:t xml:space="preserve"> </w:t>
            </w:r>
            <w:r>
              <w:rPr>
                <w:color w:val="000000" w:themeColor="text1"/>
                <w:sz w:val="28"/>
                <w:szCs w:val="28"/>
              </w:rPr>
              <w:t xml:space="preserve">Коркиной Светланы  Владимировны</w:t>
            </w:r>
            <w:r>
              <w:rPr>
                <w:b w:val="0"/>
                <w:bCs w:val="0"/>
                <w:sz w:val="28"/>
                <w:szCs w:val="28"/>
              </w:rPr>
              <w:t xml:space="preserve">»</w:t>
            </w:r>
            <w:r>
              <w:rPr>
                <w:b w:val="0"/>
                <w:bCs w:val="0"/>
                <w:sz w:val="28"/>
                <w:szCs w:val="28"/>
              </w:rPr>
              <w:t xml:space="preserve">.</w:t>
            </w:r>
            <w:r>
              <w:rPr>
                <w:b w:val="0"/>
                <w:bCs w:val="0"/>
                <w:sz w:val="28"/>
                <w:szCs w:val="28"/>
              </w:rPr>
            </w:r>
            <w:r>
              <w:rPr>
                <w:b w:val="0"/>
                <w:bCs w:val="0"/>
                <w:sz w:val="28"/>
                <w:szCs w:val="28"/>
              </w:rPr>
            </w:r>
          </w:p>
          <w:p>
            <w:pPr>
              <w:pStyle w:val="1368"/>
              <w:spacing w:after="120"/>
              <w:rPr>
                <w:b w:val="0"/>
                <w:bCs w:val="0"/>
                <w:sz w:val="28"/>
                <w:szCs w:val="28"/>
                <w:highlight w:val="none"/>
                <w:shd w:val="clear" w:color="auto" w:fill="auto"/>
              </w:rPr>
            </w:pPr>
            <w:r>
              <w:rPr>
                <w:b w:val="0"/>
                <w:sz w:val="26"/>
                <w:szCs w:val="26"/>
              </w:rPr>
              <w:t xml:space="preserve">Контактный телефон: (4212) </w:t>
            </w:r>
            <w:r>
              <w:rPr>
                <w:sz w:val="28"/>
                <w:szCs w:val="28"/>
              </w:rPr>
              <w:t xml:space="preserve">26</w:t>
            </w:r>
            <w:r>
              <w:rPr>
                <w:sz w:val="28"/>
                <w:szCs w:val="28"/>
                <w:lang w:eastAsia="en-US"/>
              </w:rPr>
              <w:t xml:space="preserve">-49-74</w:t>
            </w:r>
            <w:r>
              <w:rPr>
                <w:b w:val="0"/>
                <w:bCs w:val="0"/>
                <w:sz w:val="28"/>
                <w:szCs w:val="28"/>
                <w:highlight w:val="none"/>
                <w:shd w:val="clear" w:color="auto" w:fill="auto"/>
              </w:rPr>
            </w:r>
            <w:r>
              <w:rPr>
                <w:b w:val="0"/>
                <w:bCs w:val="0"/>
                <w:sz w:val="28"/>
                <w:szCs w:val="28"/>
                <w:highlight w:val="none"/>
                <w:shd w:val="clear" w:color="auto" w:fill="auto"/>
              </w:rPr>
            </w:r>
          </w:p>
          <w:p>
            <w:pPr>
              <w:ind w:firstLine="0"/>
              <w:jc w:val="left"/>
              <w:spacing w:line="240" w:lineRule="auto"/>
              <w:rPr>
                <w:sz w:val="24"/>
                <w:szCs w:val="24"/>
              </w:rPr>
            </w:pPr>
            <w:r>
              <w:rPr>
                <w:i/>
                <w:sz w:val="28"/>
                <w:szCs w:val="28"/>
                <w:lang w:eastAsia="en-US"/>
              </w:rPr>
              <w:t xml:space="preserve">Адрес электронной почты:</w:t>
            </w:r>
            <w:r>
              <w:rPr>
                <w:sz w:val="28"/>
                <w:szCs w:val="28"/>
                <w:lang w:eastAsia="en-US"/>
              </w:rPr>
              <w:t xml:space="preserve"> </w:t>
            </w:r>
            <w:r>
              <w:rPr>
                <w:color w:val="000000" w:themeColor="text1"/>
                <w:sz w:val="22"/>
                <w:szCs w:val="22"/>
              </w:rPr>
              <w:t xml:space="preserve"> </w:t>
            </w:r>
            <w:r>
              <w:rPr>
                <w:color w:val="000000" w:themeColor="text1"/>
                <w:sz w:val="24"/>
                <w:szCs w:val="24"/>
              </w:rPr>
            </w:r>
            <w:hyperlink r:id="rId43" w:tooltip="mailto:korkina-sv@dgk.ru" w:history="1">
              <w:r>
                <w:rPr>
                  <w:rStyle w:val="1308"/>
                  <w:color w:val="000000" w:themeColor="text1"/>
                  <w:sz w:val="24"/>
                  <w:szCs w:val="24"/>
                </w:rPr>
                <w:t xml:space="preserve">korkina-sv@dgk.ru</w:t>
              </w:r>
            </w:hyperlink>
            <w:r>
              <w:rPr>
                <w:sz w:val="24"/>
                <w:szCs w:val="24"/>
              </w:rPr>
              <w:t xml:space="preserve">  </w:t>
            </w:r>
            <w:r>
              <w:rPr>
                <w:sz w:val="24"/>
                <w:szCs w:val="24"/>
              </w:rPr>
            </w:r>
            <w:r>
              <w:rPr>
                <w:sz w:val="24"/>
                <w:szCs w:val="24"/>
              </w:rPr>
            </w:r>
          </w:p>
          <w:p>
            <w:pPr>
              <w:pStyle w:val="1342"/>
              <w:spacing w:before="120"/>
            </w:pPr>
            <w:r>
              <w:t xml:space="preserve">Для подачи документов в электронной форме:</w:t>
            </w:r>
            <w:r/>
          </w:p>
          <w:p>
            <w:pPr>
              <w:pStyle w:val="1342"/>
            </w:pPr>
            <w:r>
              <w:t xml:space="preserve">К</w:t>
            </w:r>
            <w:r>
              <w:t xml:space="preserve">орпоративн</w:t>
            </w:r>
            <w:r>
              <w:t xml:space="preserve">ый</w:t>
            </w:r>
            <w:r>
              <w:t xml:space="preserve"> сайт ПАО</w:t>
            </w:r>
            <w:r>
              <w:t xml:space="preserve"> </w:t>
            </w:r>
            <w:r>
              <w:t xml:space="preserve">«РусГидро»</w:t>
            </w:r>
            <w:r>
              <w:t xml:space="preserve">, через </w:t>
            </w:r>
            <w:r>
              <w:t xml:space="preserve">специально </w:t>
            </w:r>
            <w:r>
              <w:t xml:space="preserve">созданную учетную запись (подробный порядок содержится в</w:t>
            </w:r>
            <w:r>
              <w:t xml:space="preserve"> </w:t>
            </w:r>
            <w:r>
              <w:t xml:space="preserve">разделе </w:t>
            </w:r>
            <w:r>
              <w:fldChar w:fldCharType="begin"/>
            </w:r>
            <w:r>
              <w:instrText xml:space="preserve"> REF _Ref126142429 \r \h </w:instrText>
            </w:r>
            <w:r>
              <w:fldChar w:fldCharType="separate"/>
            </w:r>
            <w:r>
              <w:t xml:space="preserve">5</w:t>
            </w:r>
            <w:r>
              <w:fldChar w:fldCharType="end"/>
            </w:r>
            <w:r>
              <w:t xml:space="preserve">)</w:t>
            </w:r>
            <w:r>
              <w:t xml:space="preserve">.</w:t>
            </w:r>
            <w:r/>
          </w:p>
        </w:tc>
      </w:tr>
      <w:tr>
        <w:tblPrEx/>
        <w:trPr/>
        <w:tc>
          <w:tcPr>
            <w:tcW w:w="837" w:type="dxa"/>
            <w:textDirection w:val="lrTb"/>
            <w:noWrap w:val="false"/>
          </w:tcPr>
          <w:p>
            <w:pPr>
              <w:pStyle w:val="1338"/>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r>
            <w:bookmarkStart w:id="59" w:name="_Ref125368490"/>
            <w:r/>
            <w:bookmarkEnd w:id="59"/>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3273" w:type="dxa"/>
            <w:textDirection w:val="lrTb"/>
            <w:noWrap w:val="false"/>
          </w:tcPr>
          <w:p>
            <w:pPr>
              <w:pStyle w:val="1342"/>
              <w:jc w:val="left"/>
            </w:pPr>
            <w:r>
              <w:t xml:space="preserve">Некритичные </w:t>
            </w:r>
            <w:r>
              <w:t xml:space="preserve">пункты</w:t>
            </w:r>
            <w:r>
              <w:t xml:space="preserve"> </w:t>
            </w:r>
            <w:r>
              <w:t xml:space="preserve">П</w:t>
            </w:r>
            <w:r>
              <w:t xml:space="preserve">роекта </w:t>
            </w:r>
            <w:r>
              <w:t xml:space="preserve">д</w:t>
            </w:r>
            <w:r>
              <w:t xml:space="preserve">оговора</w:t>
            </w:r>
            <w:r>
              <w:t xml:space="preserve">:</w:t>
            </w:r>
            <w:r/>
          </w:p>
        </w:tc>
        <w:tc>
          <w:tcPr>
            <w:tcW w:w="5644" w:type="dxa"/>
            <w:textDirection w:val="lrTb"/>
            <w:noWrap w:val="false"/>
          </w:tcPr>
          <w:p>
            <w:pPr>
              <w:pStyle w:val="1342"/>
            </w:pPr>
            <w:r>
              <w:t xml:space="preserve">Отсутствуют.</w:t>
            </w:r>
            <w:r/>
          </w:p>
        </w:tc>
      </w:tr>
      <w:tr>
        <w:tblPrEx/>
        <w:trPr/>
        <w:tc>
          <w:tcPr>
            <w:tcW w:w="837" w:type="dxa"/>
            <w:textDirection w:val="lrTb"/>
            <w:noWrap w:val="false"/>
          </w:tcPr>
          <w:p>
            <w:pPr>
              <w:pStyle w:val="1338"/>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3273" w:type="dxa"/>
            <w:textDirection w:val="lrTb"/>
            <w:noWrap w:val="false"/>
          </w:tcPr>
          <w:p>
            <w:pPr>
              <w:pStyle w:val="1342"/>
              <w:jc w:val="left"/>
            </w:pPr>
            <w:r>
              <w:t xml:space="preserve">Обеспечение</w:t>
            </w:r>
            <w:r>
              <w:br/>
            </w:r>
            <w:r>
              <w:t xml:space="preserve">исполнения</w:t>
            </w:r>
            <w:r>
              <w:t xml:space="preserve"> </w:t>
            </w:r>
            <w:r>
              <w:t xml:space="preserve">Договора</w:t>
            </w:r>
            <w:r>
              <w:t xml:space="preserve">:</w:t>
            </w:r>
            <w:r/>
          </w:p>
        </w:tc>
        <w:tc>
          <w:tcPr>
            <w:tcW w:w="5644" w:type="dxa"/>
            <w:textDirection w:val="lrTb"/>
            <w:noWrap w:val="false"/>
          </w:tcPr>
          <w:p>
            <w:pPr>
              <w:pStyle w:val="1342"/>
              <w:rPr>
                <w:b/>
                <w:bCs/>
              </w:rPr>
            </w:pPr>
            <w:r>
              <w:rPr>
                <w:b/>
                <w:bCs/>
              </w:rPr>
              <w:t xml:space="preserve">Требуется</w:t>
            </w:r>
            <w:r>
              <w:rPr>
                <w:b/>
                <w:bCs/>
              </w:rPr>
              <w:t xml:space="preserve">.</w:t>
            </w:r>
            <w:r>
              <w:rPr>
                <w:b/>
                <w:bCs/>
              </w:rPr>
            </w:r>
            <w:r>
              <w:rPr>
                <w:b/>
                <w:bCs/>
              </w:rPr>
            </w:r>
          </w:p>
          <w:p>
            <w:pPr>
              <w:pStyle w:val="1342"/>
              <w:rPr>
                <w:szCs w:val="26"/>
              </w:rPr>
            </w:pPr>
            <w:r>
              <w:t xml:space="preserve">Обязательства по договору, которые должны быть </w:t>
            </w:r>
            <w:r>
              <w:rPr>
                <w:szCs w:val="26"/>
              </w:rPr>
              <w:t xml:space="preserve">обеспечены</w:t>
            </w:r>
            <w:r>
              <w:rPr>
                <w:szCs w:val="26"/>
              </w:rPr>
              <w:t xml:space="preserve">:</w:t>
            </w:r>
            <w:r>
              <w:rPr>
                <w:szCs w:val="26"/>
              </w:rPr>
            </w:r>
            <w:r>
              <w:rPr>
                <w:szCs w:val="26"/>
              </w:rPr>
            </w:r>
          </w:p>
          <w:p>
            <w:pPr>
              <w:pStyle w:val="1342"/>
              <w:numPr>
                <w:ilvl w:val="0"/>
                <w:numId w:val="32"/>
              </w:numPr>
              <w:ind w:left="284" w:hanging="284"/>
              <w:keepNext/>
              <w:rPr>
                <w:szCs w:val="26"/>
              </w:rPr>
            </w:pPr>
            <w:r>
              <w:rPr>
                <w:szCs w:val="26"/>
              </w:rPr>
              <w:t xml:space="preserve">возврат предварительной оплаты (аванса):</w:t>
            </w:r>
            <w:r>
              <w:rPr>
                <w:szCs w:val="26"/>
              </w:rPr>
            </w:r>
            <w:r>
              <w:rPr>
                <w:szCs w:val="26"/>
              </w:rPr>
            </w:r>
          </w:p>
          <w:p>
            <w:pPr>
              <w:ind w:firstLine="0"/>
              <w:spacing w:line="240" w:lineRule="auto"/>
              <w:rPr>
                <w:sz w:val="22"/>
                <w:szCs w:val="22"/>
                <w:highlight w:val="white"/>
              </w:rPr>
            </w:pPr>
            <w:r>
              <w:rPr>
                <w:sz w:val="28"/>
                <w:szCs w:val="28"/>
                <w:highlight w:val="white"/>
              </w:rPr>
              <w:t xml:space="preserve">П</w:t>
            </w:r>
            <w:r>
              <w:rPr>
                <w:sz w:val="28"/>
                <w:szCs w:val="28"/>
                <w:highlight w:val="white"/>
              </w:rPr>
              <w:t xml:space="preserve">оставщик в срок не позднее 3 (трех) рабочих дней до предполагаемой даты выплаты авансового платежа, должен предоставить обеспечение исполнения обязательств по возврату аванса в виде Банковской гарантии в размере аванса в размере 30% от стоимости партии про</w:t>
            </w:r>
            <w:r>
              <w:rPr>
                <w:sz w:val="28"/>
                <w:szCs w:val="28"/>
                <w:highlight w:val="white"/>
              </w:rPr>
              <w:t xml:space="preserve">дукции по заявке (в соответствии с п.2.5.1 проекта Договора).</w:t>
            </w:r>
            <w:r>
              <w:rPr>
                <w:sz w:val="22"/>
                <w:szCs w:val="22"/>
                <w:highlight w:val="white"/>
              </w:rPr>
            </w:r>
            <w:r>
              <w:rPr>
                <w:sz w:val="22"/>
                <w:szCs w:val="22"/>
                <w:highlight w:val="white"/>
              </w:rPr>
            </w:r>
          </w:p>
          <w:p>
            <w:pPr>
              <w:ind w:firstLine="0"/>
              <w:spacing w:line="240" w:lineRule="auto"/>
              <w:rPr>
                <w:sz w:val="22"/>
                <w:szCs w:val="22"/>
              </w:rPr>
            </w:pPr>
            <w:r>
              <w:rPr>
                <w:i w:val="0"/>
                <w:iCs w:val="0"/>
                <w:sz w:val="28"/>
                <w:szCs w:val="28"/>
              </w:rPr>
              <w:t xml:space="preserve">Валюта обеспечения исполнения Договора:</w:t>
            </w:r>
            <w:r>
              <w:rPr>
                <w:i w:val="0"/>
                <w:iCs w:val="0"/>
                <w:sz w:val="28"/>
                <w:szCs w:val="28"/>
              </w:rPr>
              <w:t xml:space="preserve"> </w:t>
            </w:r>
            <w:r>
              <w:rPr>
                <w:sz w:val="28"/>
                <w:szCs w:val="28"/>
              </w:rPr>
              <w:t xml:space="preserve">российский рубль</w:t>
            </w:r>
            <w:r>
              <w:rPr>
                <w:sz w:val="22"/>
                <w:szCs w:val="22"/>
              </w:rPr>
            </w:r>
            <w:r>
              <w:rPr>
                <w:sz w:val="22"/>
                <w:szCs w:val="22"/>
              </w:rPr>
            </w:r>
          </w:p>
          <w:p>
            <w:pPr>
              <w:ind w:firstLine="0"/>
              <w:spacing w:line="240" w:lineRule="auto"/>
              <w:rPr>
                <w:i/>
                <w:sz w:val="22"/>
                <w:szCs w:val="22"/>
              </w:rPr>
            </w:pPr>
            <w:r>
              <w:rPr>
                <w:sz w:val="28"/>
                <w:szCs w:val="28"/>
              </w:rPr>
              <w:t xml:space="preserve">Иные требования к обеспечению исполнения Договора: приведены в Проекте договора (Приложение №2 к Документации о закупке)</w:t>
            </w:r>
            <w:r>
              <w:rPr>
                <w:i/>
                <w:sz w:val="22"/>
                <w:szCs w:val="22"/>
              </w:rPr>
            </w:r>
            <w:r>
              <w:rPr>
                <w:i/>
                <w:sz w:val="22"/>
                <w:szCs w:val="22"/>
              </w:rPr>
            </w:r>
          </w:p>
        </w:tc>
      </w:tr>
    </w:tbl>
    <w:p>
      <w:pPr>
        <w:pStyle w:val="1336"/>
        <w:spacing w:before="0" w:after="0"/>
      </w:pPr>
      <w:r/>
      <w:bookmarkStart w:id="60" w:name="_Toc230928830"/>
      <w:r/>
      <w:bookmarkStart w:id="61" w:name="_Ref125360337"/>
      <w:r/>
      <w:bookmarkStart w:id="62" w:name="_Ref125360073"/>
      <w:r>
        <w:t xml:space="preserve">Общие положения</w:t>
      </w:r>
      <w:bookmarkEnd w:id="60"/>
      <w:r/>
      <w:bookmarkEnd w:id="61"/>
      <w:r/>
      <w:bookmarkEnd w:id="62"/>
      <w:r/>
      <w:r/>
    </w:p>
    <w:p>
      <w:pPr>
        <w:pStyle w:val="1337"/>
        <w:spacing w:before="360" w:after="0"/>
      </w:pPr>
      <w:r/>
      <w:bookmarkStart w:id="63" w:name="_Toc230928831"/>
      <w:r>
        <w:t xml:space="preserve">Общие сведения о закупке</w:t>
      </w:r>
      <w:bookmarkEnd w:id="63"/>
      <w:r/>
      <w:r/>
    </w:p>
    <w:p>
      <w:pPr>
        <w:pStyle w:val="1338"/>
        <w:spacing w:before="120" w:after="0"/>
      </w:pPr>
      <w:r>
        <w:t xml:space="preserve">Организатор официально размещенным Извещением приглашает лиц, указанных в подразделе </w:t>
      </w:r>
      <w:r>
        <w:fldChar w:fldCharType="begin"/>
      </w:r>
      <w:r>
        <w:instrText xml:space="preserve"> REF _Ref125359973 \r \h </w:instrText>
      </w:r>
      <w:r>
        <w:fldChar w:fldCharType="separate"/>
      </w:r>
      <w:r>
        <w:t xml:space="preserve">1.2</w:t>
      </w:r>
      <w:r>
        <w:fldChar w:fldCharType="end"/>
      </w:r>
      <w:r>
        <w:t xml:space="preserve">, к участию в закупке на право заключения договора, предмет которого указан в том же подразделе.</w:t>
      </w:r>
      <w:r/>
    </w:p>
    <w:p>
      <w:pPr>
        <w:pStyle w:val="1338"/>
        <w:spacing w:before="0" w:after="0"/>
      </w:pPr>
      <w:r>
        <w:t xml:space="preserve">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_Ref125361210 \r \h </w:instrText>
      </w:r>
      <w:r>
        <w:fldChar w:fldCharType="separate"/>
      </w:r>
      <w:r>
        <w:t xml:space="preserve">3</w:t>
      </w:r>
      <w:r>
        <w:fldChar w:fldCharType="end"/>
      </w:r>
      <w:r>
        <w:t xml:space="preserve"> Документации о закупке.</w:t>
      </w:r>
      <w:r/>
    </w:p>
    <w:p>
      <w:pPr>
        <w:pStyle w:val="1338"/>
        <w:spacing w:before="0" w:after="0"/>
      </w:pPr>
      <w:r>
        <w:t xml:space="preserve">Требования к поставляемой продукции, включая срок, объем и место поставки продукции, изложены в </w:t>
      </w:r>
      <w:hyperlink w:tooltip="#Прил01_ТехТребования" w:anchor="Прил01_ТехТребования" w:history="1">
        <w:r>
          <w:rPr>
            <w:rStyle w:val="1311"/>
          </w:rPr>
          <w:t xml:space="preserve">Технических требованиях (Приложение № 1)</w:t>
        </w:r>
      </w:hyperlink>
      <w:r>
        <w:t xml:space="preserve">. </w:t>
      </w:r>
      <w:hyperlink w:tooltip="#Прил02_ПроектДоговора" w:anchor="Прил02_ПроектДоговора" w:history="1">
        <w:r>
          <w:rPr>
            <w:rStyle w:val="1311"/>
          </w:rPr>
          <w:t xml:space="preserve">Проект договора</w:t>
        </w:r>
      </w:hyperlink>
      <w:r>
        <w:t xml:space="preserve">, который планируется заключить по результатам закупки, в том числе содержащий условия по форме, срокам и порядку оплаты, приведен в </w:t>
      </w:r>
      <w:hyperlink w:tooltip="#Прил02_ПроектДоговора" w:anchor="Прил02_ПроектДоговора" w:history="1">
        <w:r>
          <w:rPr>
            <w:rStyle w:val="1311"/>
          </w:rPr>
          <w:t xml:space="preserve">Приложении № 2</w:t>
        </w:r>
      </w:hyperlink>
      <w:r>
        <w:t xml:space="preserve">. Если в подразделе </w:t>
      </w:r>
      <w:r>
        <w:fldChar w:fldCharType="begin"/>
      </w:r>
      <w:r>
        <w:instrText xml:space="preserve"> REF _Ref125359973 \r \h </w:instrText>
      </w:r>
      <w:r>
        <w:fldChar w:fldCharType="separate"/>
      </w:r>
      <w:r>
        <w:t xml:space="preserve">1.2</w:t>
      </w:r>
      <w:r>
        <w:fldChar w:fldCharType="end"/>
      </w:r>
      <w:r>
        <w:t xml:space="preserve"> установлено, что национальный режим не предоставляется, то требования к закупаемой продукции (в части страны происхождения товара) также могут быть установлены в Структуре НМЦ (в составе Коммерческого предложения (форма 3) (</w:t>
      </w:r>
      <w:hyperlink w:tooltip="#Прил04_ФормыЗаявки" w:anchor="Прил04_ФормыЗаявки" w:history="1">
        <w:r>
          <w:rPr>
            <w:rStyle w:val="1311"/>
          </w:rPr>
          <w:t xml:space="preserve">Приложение № 4</w:t>
        </w:r>
      </w:hyperlink>
      <w:r>
        <w:t xml:space="preserve">)).</w:t>
      </w:r>
      <w:r/>
    </w:p>
    <w:p>
      <w:pPr>
        <w:pStyle w:val="1338"/>
        <w:spacing w:before="0" w:after="0"/>
      </w:pPr>
      <w:r>
        <w:t xml:space="preserve">Подробная информация о порядке проведения закупки и участия в ней, а также о порядке заключения Договора, приведены в разделах </w:t>
      </w:r>
      <w:r>
        <w:fldChar w:fldCharType="begin"/>
      </w:r>
      <w:r>
        <w:instrText xml:space="preserve"> REF _Ref125361211 \r \h </w:instrText>
      </w:r>
      <w:r>
        <w:fldChar w:fldCharType="separate"/>
      </w:r>
      <w:r>
        <w:t xml:space="preserve">4</w:t>
      </w:r>
      <w:r>
        <w:fldChar w:fldCharType="end"/>
      </w:r>
      <w:r>
        <w:t xml:space="preserve">, </w:t>
      </w:r>
      <w:r>
        <w:fldChar w:fldCharType="begin"/>
      </w:r>
      <w:r>
        <w:instrText xml:space="preserve"> REF _Ref126142429 \r \h </w:instrText>
      </w:r>
      <w:r>
        <w:fldChar w:fldCharType="separate"/>
      </w:r>
      <w:r>
        <w:t xml:space="preserve">5</w:t>
      </w:r>
      <w:r>
        <w:fldChar w:fldCharType="end"/>
      </w:r>
      <w:r>
        <w:t xml:space="preserve">, образцы основных форм документов, включаемых в заявку или предоставляемых Победителем, приведены в Приложениях </w:t>
      </w:r>
      <w:hyperlink w:tooltip="#Прил04_ФормыЗаявки" w:anchor="Прил04_ФормыЗаявки" w:history="1">
        <w:r>
          <w:rPr>
            <w:rStyle w:val="1311"/>
          </w:rPr>
          <w:t xml:space="preserve">№ 4</w:t>
        </w:r>
      </w:hyperlink>
      <w:r>
        <w:t xml:space="preserve">, </w:t>
      </w:r>
      <w:hyperlink w:tooltip="#Прил05_ФормыПобедителя" w:anchor="Прил05_ФормыПобедителя" w:history="1">
        <w:r>
          <w:rPr>
            <w:rStyle w:val="1311"/>
          </w:rPr>
          <w:t xml:space="preserve">№ 5</w:t>
        </w:r>
      </w:hyperlink>
      <w:r>
        <w:t xml:space="preserve">.</w:t>
      </w:r>
      <w:r/>
    </w:p>
    <w:p>
      <w:pPr>
        <w:pStyle w:val="1337"/>
        <w:spacing w:before="360" w:after="0"/>
      </w:pPr>
      <w:r/>
      <w:bookmarkStart w:id="64" w:name="_Toc230928832"/>
      <w:r>
        <w:t xml:space="preserve">Правовой статус документов</w:t>
      </w:r>
      <w:bookmarkEnd w:id="64"/>
      <w:r/>
      <w:r/>
    </w:p>
    <w:p>
      <w:pPr>
        <w:pStyle w:val="1338"/>
        <w:spacing w:before="120" w:after="0"/>
      </w:pPr>
      <w:r>
        <w:t xml:space="preserve">Документация о закупке вместе с Извещением, являющимся ее неотъемлемой частью, являются публичной </w:t>
      </w:r>
      <w:r>
        <w:t xml:space="preserve">офертой Организатора в соответствии со статьей 437 ГК РФ и должны рассматриваться Участниками в соответствии с этим до подведения итогов закупки. При наличии противоречий между положениями Извещения и Документации о закупке применяются положения Извещения.</w:t>
      </w:r>
      <w:r/>
    </w:p>
    <w:p>
      <w:pPr>
        <w:pStyle w:val="1338"/>
        <w:spacing w:before="0" w:after="0"/>
      </w:pPr>
      <w:r>
        <w:t xml:space="preserve">Заявка Участника имеет правовой статус оферты и будет рассматриваться Организатором в течение указанного в ней срока ее действия.</w:t>
      </w:r>
      <w:r/>
    </w:p>
    <w:p>
      <w:pPr>
        <w:pStyle w:val="1338"/>
        <w:keepNext/>
        <w:spacing w:before="0" w:after="0"/>
      </w:pPr>
      <w:r/>
      <w:bookmarkStart w:id="65" w:name="_Ref125366985"/>
      <w:r>
        <w:t xml:space="preserve">При определении условий Договора по результатам закупки используется иерархия документов, установленная в пункте </w:t>
      </w:r>
      <w:r>
        <w:fldChar w:fldCharType="begin"/>
      </w:r>
      <w:r>
        <w:instrText xml:space="preserve"> REF _Ref132288402 \r \h </w:instrText>
      </w:r>
      <w:r>
        <w:fldChar w:fldCharType="separate"/>
      </w:r>
      <w:r>
        <w:t xml:space="preserve">5.2.9</w:t>
      </w:r>
      <w:r>
        <w:fldChar w:fldCharType="end"/>
      </w:r>
      <w:bookmarkEnd w:id="65"/>
      <w:r>
        <w:t xml:space="preserve">.</w:t>
      </w:r>
      <w:r/>
    </w:p>
    <w:p>
      <w:pPr>
        <w:pStyle w:val="1338"/>
        <w:spacing w:before="0" w:after="0"/>
      </w:pPr>
      <w:r>
        <w:t xml:space="preserve">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r/>
    </w:p>
    <w:p>
      <w:pPr>
        <w:pStyle w:val="1338"/>
        <w:spacing w:before="0" w:after="0"/>
      </w:pPr>
      <w:r>
        <w:t xml:space="preserve">Во всем, что не урегулировано Извещением и Документацией о закупке, стороны руководствуются Законом 223-ФЗ и Положением о закупке (в редакции, действующей на дату официального размещения Извещения).</w:t>
      </w:r>
      <w:r/>
    </w:p>
    <w:p>
      <w:pPr>
        <w:pStyle w:val="1338"/>
        <w:spacing w:before="0" w:after="0"/>
      </w:pPr>
      <w:r>
        <w:t xml:space="preserve">Если в отношении сторон Договора, заключаемо</w:t>
      </w:r>
      <w:r>
        <w:t xml:space="preserve">го по результатам закупки, действуют также специальные нормативные правовые акты, зарегистрированные в установленном порядке, Документация о закупке и заявка Победителя будут считаться приоритетными по отношению к диспозитивным нормам указанных документов.</w:t>
      </w:r>
      <w:r/>
    </w:p>
    <w:p>
      <w:pPr>
        <w:pStyle w:val="1338"/>
        <w:spacing w:before="0" w:after="0"/>
      </w:pPr>
      <w:r>
        <w:t xml:space="preserve">Иные документы Организатора и Участников не определяют права и обязанности сторон в связи с данной закупкой.</w:t>
      </w:r>
      <w:r/>
    </w:p>
    <w:p>
      <w:pPr>
        <w:pStyle w:val="1338"/>
        <w:spacing w:before="0" w:after="0"/>
      </w:pPr>
      <w:r>
        <w:t xml:space="preserve">Любые уведомления, письма, предложения, иная переписка и действия председателя, заместителя председателя, членов, секретаря Закупочной комиссии и иных работников Заказчика и Организатора относительно </w:t>
      </w:r>
      <w:r>
        <w:t xml:space="preserve">условий, сроков проведения, предмета настоящей закупки (за исключением информации, представляемой 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w:t>
      </w:r>
      <w:r/>
    </w:p>
    <w:p>
      <w:pPr>
        <w:pStyle w:val="1337"/>
        <w:spacing w:before="360" w:after="0"/>
      </w:pPr>
      <w:r/>
      <w:bookmarkStart w:id="66" w:name="_Toc230928833"/>
      <w:r/>
      <w:bookmarkStart w:id="67" w:name="_Ref125363536"/>
      <w:r>
        <w:t xml:space="preserve">Обжалование</w:t>
      </w:r>
      <w:bookmarkEnd w:id="66"/>
      <w:r/>
      <w:bookmarkEnd w:id="67"/>
      <w:r/>
      <w:r/>
    </w:p>
    <w:p>
      <w:pPr>
        <w:pStyle w:val="1338"/>
        <w:spacing w:before="120" w:after="0"/>
      </w:pPr>
      <w:r>
        <w:t xml:space="preserve">Любой Участник, который за</w:t>
      </w:r>
      <w:r>
        <w:t xml:space="preserve">являет, что понес или может понести убытки в результате нарушения его прав Заказчиком и (или) Организатором, отдельными членами Закупочной комиссии или Оператором ЭП, имеет право подать заявление о рассмотрении разногласий, связанных с проведением закупки.</w:t>
      </w:r>
      <w:r/>
    </w:p>
    <w:p>
      <w:pPr>
        <w:pStyle w:val="1338"/>
        <w:spacing w:before="0" w:after="0"/>
      </w:pPr>
      <w:r>
        <w:t xml:space="preserve">До заключения Договора с Победителем заявления о рассмотрении разногласий направляются Участниками через круглосуточную «Линию доверия», посредством заполнения специальной формы на корпоративном сайте ПАО «РусГидро» (вкладка «Линия довер</w:t>
      </w:r>
      <w:r>
        <w:t xml:space="preserve">ия»), или сообщения информации по указанному на корпоративном сайте телефону. На время рассмотрения разногласий процедура проведения закупки приостанавливается до вынесения решения, если тому нет явных препятствий юридического или экономического характера.</w:t>
      </w:r>
      <w:r/>
    </w:p>
    <w:p>
      <w:pPr>
        <w:pStyle w:val="1338"/>
        <w:keepNext/>
        <w:spacing w:before="0" w:after="0"/>
      </w:pPr>
      <w:r>
        <w:t xml:space="preserve">Если разногласия не разрешены по взаимному согласию представившего их Участника и Заказчика, может быть принято одно из следующих решений:</w:t>
      </w:r>
      <w:r/>
    </w:p>
    <w:p>
      <w:pPr>
        <w:pStyle w:val="1339"/>
        <w:spacing w:before="120" w:after="0"/>
      </w:pPr>
      <w:r>
        <w:t xml:space="preserve">обязать Заказчика, Организатора, членов Закупочной комиссии, совершивших неправомерные действия, применивших н</w:t>
      </w:r>
      <w:r>
        <w:t xml:space="preserve">еправомерные процедуры либо принявших незаконное решение, совершить действия, соответствующие законодательству и Положению о закупке (в том числе, но не ограничиваясь, отменить составленные в ходе закупки протоколы, повторно рассмотреть заявки Участников);</w:t>
      </w:r>
      <w:r/>
    </w:p>
    <w:p>
      <w:pPr>
        <w:pStyle w:val="1339"/>
        <w:spacing w:before="0" w:after="0"/>
      </w:pPr>
      <w:r>
        <w:t xml:space="preserve">признать заявление Участника необоснованным.</w:t>
      </w:r>
      <w:r/>
    </w:p>
    <w:p>
      <w:pPr>
        <w:pStyle w:val="1338"/>
        <w:spacing w:before="120" w:after="0"/>
      </w:pPr>
      <w:r>
        <w:t xml:space="preserve">Участник вправе обжаловать действия (бездействие) Заказчика и (или) Орган</w:t>
      </w:r>
      <w:r>
        <w:t xml:space="preserve">изатора, Закупочной комиссии, Оператора ЭП при проведении настоящей закупки в антимонопольном органе в порядке, установленном законодательством. Если обжалуемые действия (бездействие) совершены после окончания установленного срока подачи заявок (подраздел </w:t>
      </w:r>
      <w:r>
        <w:fldChar w:fldCharType="begin"/>
      </w:r>
      <w:r>
        <w:instrText xml:space="preserve"> REF _Ref125359973 \r \h </w:instrText>
      </w:r>
      <w:r>
        <w:fldChar w:fldCharType="separate"/>
      </w:r>
      <w:r>
        <w:t xml:space="preserve">1.2</w:t>
      </w:r>
      <w:r>
        <w:fldChar w:fldCharType="end"/>
      </w:r>
      <w:r>
        <w:t xml:space="preserve">), обжалование таких действий (бездействия) может осуществляться только Участником, подавшим заявку на участие в такой закупке.</w:t>
      </w:r>
      <w:r/>
    </w:p>
    <w:p>
      <w:pPr>
        <w:pStyle w:val="1338"/>
        <w:spacing w:before="0" w:after="0"/>
      </w:pPr>
      <w:r>
        <w:t xml:space="preserve">Все споры и разногласия, возни</w:t>
      </w:r>
      <w:r>
        <w:t xml:space="preserve">кающие в связи с проведением закупки, касающиеся исполнения Организатором, Заказчиком и Участниками своих обязательств, в том числе не урегулированные путем обращения на «Линию доверия» и (или) антимонопольные органы, подлежат разрешению следующим образом:</w:t>
      </w:r>
      <w:r/>
    </w:p>
    <w:p>
      <w:pPr>
        <w:pStyle w:val="1339"/>
        <w:spacing w:before="120" w:after="0"/>
      </w:pPr>
      <w:r>
        <w:t xml:space="preserve">по закупкам, проводимым закупочными комиссиями 1-го уровня – в Арбитражном суде по месту нахождения Заказчика (либо соответствующего филиала Заказчика, для нужд которого проводится настоящая закупка);</w:t>
      </w:r>
      <w:r/>
    </w:p>
    <w:p>
      <w:pPr>
        <w:pStyle w:val="1339"/>
        <w:spacing w:before="0" w:after="0"/>
      </w:pPr>
      <w:r>
        <w:t xml:space="preserve">по закупкам, проводимым закупочными комиссиями 2-го уровня, специальными закупочными комиссиями, закупочными комиссиями исполнительного аппарата ПАО «РусГидро» – в Арбитражном суде Красноярского края.</w:t>
      </w:r>
      <w:r/>
    </w:p>
    <w:p>
      <w:pPr>
        <w:pStyle w:val="1342"/>
        <w:ind w:left="1134" w:firstLine="0"/>
      </w:pPr>
      <w:r>
        <w:t xml:space="preserve">Закупочная комиссия определяется в соответствии с Положением о закупке.</w:t>
      </w:r>
      <w:r/>
    </w:p>
    <w:p>
      <w:pPr>
        <w:pStyle w:val="1337"/>
        <w:spacing w:before="360" w:after="0"/>
      </w:pPr>
      <w:r/>
      <w:bookmarkStart w:id="68" w:name="_Toc230928834"/>
      <w:r/>
      <w:bookmarkStart w:id="69" w:name="_Ref125472658"/>
      <w:r>
        <w:t xml:space="preserve">Особые положения при проведении закупки с использованием ЭП</w:t>
      </w:r>
      <w:bookmarkEnd w:id="68"/>
      <w:r/>
      <w:bookmarkEnd w:id="69"/>
      <w:r/>
      <w:r/>
    </w:p>
    <w:p>
      <w:pPr>
        <w:pStyle w:val="1338"/>
        <w:spacing w:before="120" w:after="0"/>
      </w:pPr>
      <w:r>
        <w:t xml:space="preserve">Наименование ЭП, посредством которой проводится закупка, указано в подразделе </w:t>
      </w:r>
      <w:r>
        <w:fldChar w:fldCharType="begin"/>
      </w:r>
      <w:r>
        <w:instrText xml:space="preserve"> REF _Ref125359973 \r \h </w:instrText>
      </w:r>
      <w:r>
        <w:fldChar w:fldCharType="separate"/>
      </w:r>
      <w:r>
        <w:t xml:space="preserve">1.2</w:t>
      </w:r>
      <w:r>
        <w:fldChar w:fldCharType="end"/>
      </w:r>
      <w:r>
        <w:t xml:space="preserve">. До подачи заявки Участник обязан ознакомиться с Регламентом ЭП, опубликованными на сайте соответствующей ЭП.</w:t>
      </w:r>
      <w:r/>
    </w:p>
    <w:p>
      <w:pPr>
        <w:pStyle w:val="1338"/>
        <w:spacing w:before="0" w:after="0"/>
      </w:pPr>
      <w:r>
        <w:t xml:space="preserve">Для участия в закупке Участник должен пройти процедуру регистрации на ЭП. Регистрация осуществляется Оператором ЭП, и Организатор (Заказчик) не несет ответственности за результат ее прохождения Участником, в том числе понесенные им затраты.</w:t>
      </w:r>
      <w:r/>
    </w:p>
    <w:p>
      <w:pPr>
        <w:pStyle w:val="1338"/>
        <w:spacing w:before="0" w:after="0"/>
      </w:pPr>
      <w:r/>
      <w:bookmarkStart w:id="70" w:name="_Ref135748672"/>
      <w:r>
        <w:t xml:space="preserve">Обмен всей информацией, связанной с проведением закупки (между Участником, Организатором (Заказчиком) и Оператором ЭП) осуществляется на ЭП в форме электронных документов, подписанных усиленной квалифицированной электронной подписью уполномоченного лица.</w:t>
      </w:r>
      <w:bookmarkEnd w:id="70"/>
      <w:r/>
      <w:r/>
    </w:p>
    <w:p>
      <w:pPr>
        <w:pStyle w:val="1338"/>
        <w:spacing w:before="0" w:after="0"/>
      </w:pPr>
      <w:r/>
      <w:bookmarkStart w:id="71" w:name="_Ref135748741"/>
      <w:r>
        <w:t xml:space="preserve">Стоимость заявки (цена Договора) и иные условия закупки, указанные Участниками в специальных электронных формах на ЭП, имеют преимущество перед сведениями, указанными в загруженных на ЭП электронных документах.</w:t>
      </w:r>
      <w:bookmarkEnd w:id="71"/>
      <w:r/>
      <w:r/>
    </w:p>
    <w:p>
      <w:pPr>
        <w:pStyle w:val="1337"/>
        <w:spacing w:before="360" w:after="0"/>
      </w:pPr>
      <w:r/>
      <w:bookmarkStart w:id="72" w:name="_Toc230928835"/>
      <w:r>
        <w:t xml:space="preserve">Прочие положения</w:t>
      </w:r>
      <w:bookmarkEnd w:id="72"/>
      <w:r/>
      <w:r/>
    </w:p>
    <w:p>
      <w:pPr>
        <w:pStyle w:val="1338"/>
        <w:spacing w:before="120" w:after="0"/>
      </w:pPr>
      <w:r>
        <w:t xml:space="preserve">Заказчик, Организатор и Оператор ЭП обеспечивают конфиденциальн</w:t>
      </w:r>
      <w:r>
        <w:t xml:space="preserve">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или Документацией о закупке.</w:t>
      </w:r>
      <w:r/>
    </w:p>
    <w:p>
      <w:pPr>
        <w:pStyle w:val="1338"/>
        <w:spacing w:before="0" w:after="0"/>
      </w:pPr>
      <w:r/>
      <w:bookmarkStart w:id="73" w:name="_Ref136257236"/>
      <w:r>
        <w:t xml:space="preserve">Организатор (по решению Закупочной комиссии), вправе о</w:t>
      </w:r>
      <w:r>
        <w:t xml:space="preserve">тклонить заявку, если будет установлено, что Участник каким-либо способом повлиял на рассмотрение заявок, их оценку и сопоставление, подведение итогов закупки (определение Победителя), в том числе прямо или косвенно дал, согласился дать или предложил работ</w:t>
      </w:r>
      <w:r>
        <w:t xml:space="preserve">нику Организатора, Заказчика, члену Закупочной комиссии или эксперту, осуществлявшему экспертизу заявок, вознаграждение в любой форме: работу, услугу, какую-либо ценность в качестве стимула, и (или) оказал каким-либо иным образом давление на указанных лиц.</w:t>
      </w:r>
      <w:bookmarkEnd w:id="73"/>
      <w:r/>
      <w:r/>
    </w:p>
    <w:p>
      <w:pPr>
        <w:pStyle w:val="1338"/>
        <w:spacing w:before="0" w:after="0"/>
      </w:pPr>
      <w:r>
        <w:t xml:space="preserve">С целью предупреждения и противодействия против</w:t>
      </w:r>
      <w:r>
        <w:t xml:space="preserve">оправным действиям в Группе РусГидро организована круглосуточная «Линия доверия», обратиться на которую можно по телефону +7 (495) 785 09 37 (круглосуточно), или заполнив соответствующую форму на корпоративном сайте ПАО «РусГидро», вкладка «Линия доверия».</w:t>
      </w:r>
      <w:r/>
    </w:p>
    <w:p>
      <w:pPr>
        <w:pStyle w:val="1336"/>
        <w:spacing w:before="0" w:after="0"/>
      </w:pPr>
      <w:r/>
      <w:bookmarkStart w:id="74" w:name="_Toc230928836"/>
      <w:r/>
      <w:bookmarkStart w:id="75" w:name="_Ref125361210"/>
      <w:r>
        <w:t xml:space="preserve">Требования к Участникам</w:t>
      </w:r>
      <w:bookmarkEnd w:id="74"/>
      <w:r/>
      <w:bookmarkEnd w:id="75"/>
      <w:r/>
      <w:r/>
    </w:p>
    <w:p>
      <w:pPr>
        <w:pStyle w:val="1337"/>
        <w:spacing w:before="360" w:after="0"/>
      </w:pPr>
      <w:r/>
      <w:bookmarkStart w:id="76" w:name="_Toc230928837"/>
      <w:r/>
      <w:bookmarkStart w:id="77" w:name="_Ref127524530"/>
      <w:r>
        <w:t xml:space="preserve">Общие требования к Участникам</w:t>
      </w:r>
      <w:bookmarkEnd w:id="76"/>
      <w:r/>
      <w:bookmarkEnd w:id="77"/>
      <w:r/>
      <w:r/>
    </w:p>
    <w:p>
      <w:pPr>
        <w:pStyle w:val="1338"/>
        <w:spacing w:before="120" w:after="0"/>
      </w:pPr>
      <w:r/>
      <w:bookmarkStart w:id="78" w:name="_Ref125361514"/>
      <w:r>
        <w:t xml:space="preserve">Из лиц, указанных в подразделе </w:t>
      </w:r>
      <w:r>
        <w:fldChar w:fldCharType="begin"/>
      </w:r>
      <w:r>
        <w:instrText xml:space="preserve"> REF _Ref125359973 \r \h </w:instrText>
      </w:r>
      <w:r>
        <w:fldChar w:fldCharType="separate"/>
      </w:r>
      <w:r>
        <w:t xml:space="preserve">1.2</w:t>
      </w:r>
      <w:r>
        <w:fldChar w:fldCharType="end"/>
      </w:r>
      <w:r>
        <w:t xml:space="preserve">, участвовать в закупке может любое юридическое</w:t>
      </w:r>
      <w:r>
        <w:t xml:space="preserve">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w:t>
      </w:r>
      <w:r>
        <w:t xml:space="preserve">рмы, формы собственности, места нахождения и места происхождения капитала. Исключение составляют юридические / физические лица, являющиеся иностранным агентом в соответствии с Законом 255-ФЗ – они не могут быть Участником, в том числе в составе группы лиц.</w:t>
      </w:r>
      <w:bookmarkEnd w:id="78"/>
      <w:r/>
      <w:r/>
    </w:p>
    <w:p>
      <w:pPr>
        <w:pStyle w:val="1338"/>
        <w:spacing w:before="0" w:after="0"/>
      </w:pPr>
      <w:r>
        <w:t xml:space="preserve">Однако, чтобы претендовать на победу в закупке Участник самостоятельно или Коллективный участник (подраздел </w:t>
      </w:r>
      <w:r>
        <w:fldChar w:fldCharType="begin"/>
      </w:r>
      <w:r>
        <w:instrText xml:space="preserve"> REF _Ref130308062 \r \h </w:instrText>
      </w:r>
      <w:r>
        <w:fldChar w:fldCharType="separate"/>
      </w:r>
      <w:r>
        <w:t xml:space="preserve">3.2</w:t>
      </w:r>
      <w:r>
        <w:fldChar w:fldCharType="end"/>
      </w:r>
      <w:r>
        <w:t xml:space="preserve">) в целом должен отвечать требованиям, установленным в Документации о закупке.</w:t>
      </w:r>
      <w:r/>
    </w:p>
    <w:p>
      <w:pPr>
        <w:pStyle w:val="1338"/>
        <w:spacing w:before="0" w:after="0"/>
      </w:pPr>
      <w:r>
        <w:t xml:space="preserve">Требования к Участникам установлены с учетом предмета договора, </w:t>
      </w:r>
      <w:hyperlink w:tooltip="#Прил01_ТехТребования" w:anchor="Прил01_ТехТребования" w:history="1">
        <w:r>
          <w:rPr>
            <w:rStyle w:val="1311"/>
          </w:rPr>
          <w:t xml:space="preserve">Технических требований (Приложение № 1)</w:t>
        </w:r>
      </w:hyperlink>
      <w:r>
        <w:t xml:space="preserve"> и </w:t>
      </w:r>
      <w:hyperlink w:tooltip="#Прил02_ПроектДоговора" w:anchor="Прил02_ПроектДоговора" w:history="1">
        <w:r>
          <w:rPr>
            <w:rStyle w:val="1311"/>
          </w:rPr>
          <w:t xml:space="preserve">Проекта договора (Приложение № 2)</w:t>
        </w:r>
      </w:hyperlink>
      <w:r>
        <w:t xml:space="preserve">. Если в подразделе </w:t>
      </w:r>
      <w:r>
        <w:fldChar w:fldCharType="begin"/>
      </w:r>
      <w:r>
        <w:instrText xml:space="preserve"> REF _Ref125359973 \r \h </w:instrText>
      </w:r>
      <w:r>
        <w:fldChar w:fldCharType="separate"/>
      </w:r>
      <w:r>
        <w:t xml:space="preserve">1.2</w:t>
      </w:r>
      <w:r>
        <w:fldChar w:fldCharType="end"/>
      </w:r>
      <w:r>
        <w:t xml:space="preserve"> установлено, что национальный режим не предоставляется, то требования к Участникам (в части страны его регистрации) также могут быть установлены в Структуре НМЦ (в составе Коммерческого предложения (форма 3) (</w:t>
      </w:r>
      <w:hyperlink w:tooltip="#Прил04_ФормыЗаявки" w:anchor="Прил04_ФормыЗаявки" w:history="1">
        <w:r>
          <w:rPr>
            <w:rStyle w:val="1311"/>
          </w:rPr>
          <w:t xml:space="preserve">Приложение № 4</w:t>
        </w:r>
      </w:hyperlink>
      <w:r>
        <w:t xml:space="preserve">)).</w:t>
      </w:r>
      <w:r/>
    </w:p>
    <w:p>
      <w:pPr>
        <w:pStyle w:val="1338"/>
        <w:keepNext/>
        <w:spacing w:before="0" w:after="0"/>
      </w:pPr>
      <w:r>
        <w:t xml:space="preserve">Установлены следующие требования к Участникам, которые приведены в </w:t>
      </w:r>
      <w:hyperlink w:tooltip="#Прил03_ТребованияУчастникам" w:anchor="Прил03_ТребованияУчастникам" w:history="1">
        <w:r>
          <w:rPr>
            <w:rStyle w:val="1311"/>
          </w:rPr>
          <w:t xml:space="preserve">Приложении № 3</w:t>
        </w:r>
      </w:hyperlink>
      <w:r>
        <w:t xml:space="preserve">:</w:t>
      </w:r>
      <w:r/>
    </w:p>
    <w:p>
      <w:pPr>
        <w:pStyle w:val="1339"/>
        <w:spacing w:before="120" w:after="0"/>
      </w:pPr>
      <w:r>
        <w:t xml:space="preserve">обязательные требования (подраздел </w:t>
      </w:r>
      <w:r>
        <w:fldChar w:fldCharType="begin"/>
      </w:r>
      <w:r>
        <w:instrText xml:space="preserve"> REF _Ref125361435 \r \h </w:instrText>
      </w:r>
      <w:r>
        <w:fldChar w:fldCharType="separate"/>
      </w:r>
      <w:r>
        <w:t xml:space="preserve">8.2</w:t>
      </w:r>
      <w:r>
        <w:fldChar w:fldCharType="end"/>
      </w:r>
      <w:r>
        <w:t xml:space="preserve">) – Участники должны им соответствовать;</w:t>
      </w:r>
      <w:r/>
    </w:p>
    <w:p>
      <w:pPr>
        <w:pStyle w:val="1339"/>
        <w:spacing w:before="0" w:after="0"/>
      </w:pPr>
      <w:r>
        <w:t xml:space="preserve">специальные требования – Участники должны им соответствовать, если они установлены (подраздел </w:t>
      </w:r>
      <w:r>
        <w:fldChar w:fldCharType="begin"/>
      </w:r>
      <w:r>
        <w:instrText xml:space="preserve"> REF _Ref125709153 \r \h </w:instrText>
      </w:r>
      <w:r>
        <w:fldChar w:fldCharType="separate"/>
      </w:r>
      <w:r>
        <w:t xml:space="preserve">8.3</w:t>
      </w:r>
      <w:r>
        <w:fldChar w:fldCharType="end"/>
      </w:r>
      <w:r>
        <w:t xml:space="preserve">);</w:t>
      </w:r>
      <w:r/>
    </w:p>
    <w:p>
      <w:pPr>
        <w:pStyle w:val="1339"/>
        <w:spacing w:before="0" w:after="0"/>
      </w:pPr>
      <w:r>
        <w:t xml:space="preserve">квалификационные требования – Участники должны им соответствовать, если они установлены (подраздел </w:t>
      </w:r>
      <w:r>
        <w:fldChar w:fldCharType="begin"/>
      </w:r>
      <w:r>
        <w:instrText xml:space="preserve"> REF _Ref125709154 \r \h </w:instrText>
      </w:r>
      <w:r>
        <w:fldChar w:fldCharType="separate"/>
      </w:r>
      <w:r>
        <w:t xml:space="preserve">8.4</w:t>
      </w:r>
      <w:r>
        <w:fldChar w:fldCharType="end"/>
      </w:r>
      <w:r>
        <w:t xml:space="preserve">).</w:t>
      </w:r>
      <w:r/>
    </w:p>
    <w:p>
      <w:pPr>
        <w:pStyle w:val="1338"/>
        <w:keepNext/>
        <w:spacing w:before="120" w:after="0"/>
      </w:pPr>
      <w:r>
        <w:t xml:space="preserve">В рамках требований к Участникам могут быть установлены дополнительные требования:</w:t>
      </w:r>
      <w:r/>
    </w:p>
    <w:p>
      <w:pPr>
        <w:pStyle w:val="1339"/>
        <w:spacing w:before="120" w:after="0"/>
      </w:pPr>
      <w:r>
        <w:t xml:space="preserve">к Коллективным участникам (подраздел </w:t>
      </w:r>
      <w:r>
        <w:fldChar w:fldCharType="begin"/>
      </w:r>
      <w:r>
        <w:instrText xml:space="preserve"> REF _Ref130308111 \r \h </w:instrText>
      </w:r>
      <w:r>
        <w:fldChar w:fldCharType="separate"/>
      </w:r>
      <w:r>
        <w:t xml:space="preserve">3.2</w:t>
      </w:r>
      <w:r>
        <w:fldChar w:fldCharType="end"/>
      </w:r>
      <w:r>
        <w:t xml:space="preserve">);</w:t>
      </w:r>
      <w:r/>
    </w:p>
    <w:p>
      <w:pPr>
        <w:pStyle w:val="1339"/>
        <w:spacing w:before="0" w:after="0"/>
      </w:pPr>
      <w:r>
        <w:t xml:space="preserve">к Генеральным подрядчикам (подраздел </w:t>
      </w:r>
      <w:r>
        <w:fldChar w:fldCharType="begin"/>
      </w:r>
      <w:r>
        <w:instrText xml:space="preserve"> REF _Ref125361702 \r \h </w:instrText>
      </w:r>
      <w:r>
        <w:fldChar w:fldCharType="separate"/>
      </w:r>
      <w:r>
        <w:t xml:space="preserve">3.3</w:t>
      </w:r>
      <w:r>
        <w:fldChar w:fldCharType="end"/>
      </w:r>
      <w:r>
        <w:t xml:space="preserve">);</w:t>
      </w:r>
      <w:r/>
    </w:p>
    <w:p>
      <w:pPr>
        <w:pStyle w:val="1339"/>
        <w:spacing w:before="0" w:after="0"/>
      </w:pPr>
      <w:r>
        <w:t xml:space="preserve">к привлечению субподрядчиков (соисполнителей) из числа субъектов МСП (подраздел </w:t>
      </w:r>
      <w:r>
        <w:fldChar w:fldCharType="begin"/>
      </w:r>
      <w:r>
        <w:instrText xml:space="preserve"> REF _Ref127524203 \r \h </w:instrText>
      </w:r>
      <w:r>
        <w:fldChar w:fldCharType="separate"/>
      </w:r>
      <w:r>
        <w:t xml:space="preserve">3.4</w:t>
      </w:r>
      <w:r>
        <w:fldChar w:fldCharType="end"/>
      </w:r>
      <w:r>
        <w:t xml:space="preserve">).</w:t>
      </w:r>
      <w:r/>
    </w:p>
    <w:p>
      <w:pPr>
        <w:pStyle w:val="1338"/>
        <w:spacing w:before="120" w:after="0"/>
      </w:pPr>
      <w:r>
        <w:t xml:space="preserve">Для подтверждения соответствия установленным требованиям Участник обязан приложить в составе заявки документы, перечисленные в </w:t>
      </w:r>
      <w:hyperlink w:tooltip="#Прил03_ТребованияУчастникам" w:anchor="Прил03_ТребованияУчастникам" w:history="1">
        <w:r>
          <w:rPr>
            <w:rStyle w:val="1311"/>
          </w:rPr>
          <w:t xml:space="preserve">Требованиях к Участникам (Приложение № 3)</w:t>
        </w:r>
      </w:hyperlink>
      <w:r>
        <w:t xml:space="preserve">, если иное не установлено в Документации о закупке.</w:t>
      </w:r>
      <w:r/>
    </w:p>
    <w:p>
      <w:pPr>
        <w:pStyle w:val="1337"/>
        <w:spacing w:before="360" w:after="0"/>
      </w:pPr>
      <w:r/>
      <w:bookmarkStart w:id="79" w:name="_Ref125361976"/>
      <w:r/>
      <w:bookmarkStart w:id="80" w:name="_Ref125361969"/>
      <w:r/>
      <w:bookmarkStart w:id="81" w:name="_Toc230928838"/>
      <w:r/>
      <w:bookmarkStart w:id="82" w:name="_Ref130308255"/>
      <w:r/>
      <w:bookmarkStart w:id="83" w:name="_Ref130308203"/>
      <w:r/>
      <w:bookmarkStart w:id="84" w:name="_Ref130308111"/>
      <w:r/>
      <w:bookmarkStart w:id="85" w:name="_Ref130308062"/>
      <w:r/>
      <w:bookmarkStart w:id="86" w:name="_Ref130305355"/>
      <w:r>
        <w:t xml:space="preserve">Коллективные участники</w:t>
      </w:r>
      <w:bookmarkEnd w:id="79"/>
      <w:r/>
      <w:bookmarkEnd w:id="80"/>
      <w:r/>
      <w:bookmarkEnd w:id="81"/>
      <w:r/>
      <w:bookmarkEnd w:id="82"/>
      <w:r/>
      <w:bookmarkEnd w:id="83"/>
      <w:r/>
      <w:bookmarkEnd w:id="84"/>
      <w:r/>
      <w:bookmarkEnd w:id="85"/>
      <w:r/>
      <w:bookmarkEnd w:id="86"/>
      <w:r/>
      <w:r/>
    </w:p>
    <w:p>
      <w:pPr>
        <w:pStyle w:val="1338"/>
        <w:spacing w:before="120" w:after="0"/>
      </w:pPr>
      <w:r>
        <w:t xml:space="preserve">В закупке могут участвовать объединения юридических и (или) физических лиц (в том числе индивидуальные предприниматели), способные на законных основаниях выполнить требуемую поставку продукции – Коллективный участник.</w:t>
      </w:r>
      <w:r/>
    </w:p>
    <w:p>
      <w:pPr>
        <w:pStyle w:val="1338"/>
        <w:spacing w:before="0" w:after="0"/>
      </w:pPr>
      <w:r>
        <w:t xml:space="preserve">Если заявка подается Коллективным участником, дополнительно должны быть выполнены требования настоящего подраздела, а также требования к дополнительным документам, предоставляемым Коллективными участниками в составе заявки, установленные в подразделе </w:t>
      </w:r>
      <w:r>
        <w:fldChar w:fldCharType="begin"/>
      </w:r>
      <w:r>
        <w:instrText xml:space="preserve"> REF _Ref125552455 \r \h </w:instrText>
      </w:r>
      <w:r>
        <w:fldChar w:fldCharType="separate"/>
      </w:r>
      <w:r>
        <w:t xml:space="preserve">8.5</w:t>
      </w:r>
      <w:r>
        <w:fldChar w:fldCharType="end"/>
      </w:r>
      <w:r>
        <w:t xml:space="preserve"> </w:t>
      </w:r>
      <w:hyperlink w:tooltip="#Прил03_ТребованияУчастникам" w:anchor="Прил03_ТребованияУчастникам" w:history="1">
        <w:r>
          <w:rPr>
            <w:rStyle w:val="1311"/>
          </w:rPr>
          <w:t xml:space="preserve">Требований к Участникам (Приложение № 3)</w:t>
        </w:r>
      </w:hyperlink>
      <w:r>
        <w:t xml:space="preserve">.</w:t>
      </w:r>
      <w:r/>
    </w:p>
    <w:p>
      <w:pPr>
        <w:pStyle w:val="1338"/>
        <w:keepNext/>
        <w:spacing w:before="0" w:after="0"/>
      </w:pPr>
      <w:r/>
      <w:bookmarkStart w:id="87" w:name="_Ref125366972"/>
      <w:r>
        <w:t xml:space="preserve">Члены Коллективного участника заключают между собой соглашение, соответствующее нормам ГК РФ, и отвечающее следующим требованиям:</w:t>
      </w:r>
      <w:bookmarkEnd w:id="87"/>
      <w:r/>
      <w:r/>
    </w:p>
    <w:p>
      <w:pPr>
        <w:pStyle w:val="1339"/>
        <w:spacing w:before="120" w:after="0"/>
      </w:pPr>
      <w:r>
        <w:t xml:space="preserve">в соглашении должны быть определены права и обязанности сторон как в рамках участия в закупке, так и в рамках исполнения Договора;</w:t>
      </w:r>
      <w:r/>
    </w:p>
    <w:p>
      <w:pPr>
        <w:pStyle w:val="1339"/>
        <w:spacing w:before="0" w:after="0"/>
      </w:pPr>
      <w:r>
        <w:t xml:space="preserve">в соглашении должно быть приведено распределение номенклатуры, объемов и стоимости, а также сроков поставки продукции между членами Коллективного участника;</w:t>
      </w:r>
      <w:r/>
    </w:p>
    <w:p>
      <w:pPr>
        <w:pStyle w:val="1339"/>
        <w:spacing w:before="0" w:after="0"/>
      </w:pPr>
      <w:r>
        <w:t xml:space="preserve">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процессе участия в закупке, заключения и последующего исполнения Договора;</w:t>
      </w:r>
      <w:r/>
    </w:p>
    <w:p>
      <w:pPr>
        <w:pStyle w:val="1339"/>
        <w:spacing w:before="0" w:after="0"/>
      </w:pPr>
      <w:r>
        <w:t xml:space="preserve">в соглашении должна быть установлена солидарная ответственность каждого члена Коллективного участника по обязательствам, связанным с участием в закупке, заключением и последующим исполнением Договора;</w:t>
      </w:r>
      <w:r/>
    </w:p>
    <w:p>
      <w:pPr>
        <w:pStyle w:val="1339"/>
        <w:spacing w:before="0" w:after="0"/>
      </w:pPr>
      <w:r>
        <w:t xml:space="preserve">срок действия соглашения должен быть не менее срока исполнения обязательств Участника по Договору, предлагаемого в составе заявки;</w:t>
      </w:r>
      <w:r/>
    </w:p>
    <w:p>
      <w:pPr>
        <w:pStyle w:val="1339"/>
        <w:spacing w:before="0" w:after="0"/>
      </w:pPr>
      <w: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инициативе Заказчика и соглашению сторон, данная схема может быть изменена.</w:t>
      </w:r>
      <w:r/>
    </w:p>
    <w:p>
      <w:pPr>
        <w:pStyle w:val="1338"/>
        <w:spacing w:before="120" w:after="0"/>
      </w:pPr>
      <w:r>
        <w:t xml:space="preserve">Заявка подготавливается и подается лидером от своего имени со ссылкой в Письме о подаче оферты (форма 2) (</w:t>
      </w:r>
      <w:hyperlink w:tooltip="#Прил04_ФормыЗаявки" w:anchor="Прил04_ФормыЗаявки" w:history="1">
        <w:r>
          <w:rPr>
            <w:rStyle w:val="1311"/>
          </w:rPr>
          <w:t xml:space="preserve">Приложение № 4</w:t>
        </w:r>
      </w:hyperlink>
      <w:r>
        <w:t xml:space="preserve">) на то, что он представляет интересы Коллективного участника.</w:t>
      </w:r>
      <w:r/>
    </w:p>
    <w:p>
      <w:pPr>
        <w:pStyle w:val="1338"/>
        <w:spacing w:before="0" w:after="0"/>
      </w:pPr>
      <w:r/>
      <w:bookmarkStart w:id="88" w:name="_Ref125368791"/>
      <w:r>
        <w:t xml:space="preserve">Каждый член Коллективного участника (включая лидера Коллективного участника) должен отвечать всем обязательным требованиям к Участникам (подраздел </w:t>
      </w:r>
      <w:r>
        <w:fldChar w:fldCharType="begin"/>
      </w:r>
      <w:r>
        <w:instrText xml:space="preserve"> REF _Ref125361435 \r \h </w:instrText>
      </w:r>
      <w:r>
        <w:fldChar w:fldCharType="separate"/>
      </w:r>
      <w:r>
        <w:t xml:space="preserve">8.2</w:t>
      </w:r>
      <w:r>
        <w:fldChar w:fldCharType="end"/>
      </w:r>
      <w:r>
        <w:t xml:space="preserve">).</w:t>
      </w:r>
      <w:bookmarkEnd w:id="88"/>
      <w:r/>
      <w:r/>
    </w:p>
    <w:p>
      <w:pPr>
        <w:pStyle w:val="1338"/>
        <w:spacing w:before="0" w:after="0"/>
      </w:pPr>
      <w:r>
        <w:t xml:space="preserve">При рассмотрении и оценке Коллективного участника на соответствие специальным требованиям к Участникам (подраздел </w:t>
      </w:r>
      <w:r>
        <w:fldChar w:fldCharType="begin"/>
      </w:r>
      <w:r>
        <w:instrText xml:space="preserve"> REF _Ref125709153 \r \h </w:instrText>
      </w:r>
      <w:r>
        <w:fldChar w:fldCharType="separate"/>
      </w:r>
      <w:r>
        <w:t xml:space="preserve">8.3</w:t>
      </w:r>
      <w:r>
        <w:fldChar w:fldCharType="end"/>
      </w:r>
      <w:r>
        <w:t xml:space="preserve">) показатели, в том числе относящиеся к наличию спец</w:t>
      </w:r>
      <w:r>
        <w:t xml:space="preserve">иальных допусков, лицензий, членства в саморегулируемых организациях, других разрешительных документов, должны быть в наличии у каждого из членов Коллективного участника, которым в соответствии с Планом распределения объемов поставки продукции (форма 10) (</w:t>
      </w:r>
      <w:hyperlink w:tooltip="#Прил04_ФормыЗаявки" w:anchor="Прил04_ФормыЗаявки" w:history="1">
        <w:r>
          <w:rPr>
            <w:rStyle w:val="1311"/>
          </w:rPr>
          <w:t xml:space="preserve">Приложение № 4</w:t>
        </w:r>
      </w:hyperlink>
      <w:r>
        <w:t xml:space="preserve">) будет поручена непосредственная поставка проду</w:t>
      </w:r>
      <w:r>
        <w:t xml:space="preserve">кции, требующая наличия необходимого статуса в соответствии с законодательством (для членства в саморегулируемых организациях – с уровнем ответственности соответствующего члена Коллективного участника пропорционально заявляемому объему поставки продукции).</w:t>
      </w:r>
      <w:r/>
    </w:p>
    <w:p>
      <w:pPr>
        <w:pStyle w:val="1338"/>
        <w:spacing w:before="0" w:after="0"/>
      </w:pPr>
      <w:r/>
      <w:bookmarkStart w:id="89" w:name="_Ref134705077"/>
      <w:r>
        <w:t xml:space="preserve">При рассмотрении и оценке Коллективного участника на соответствие квалификационным требованиям (подраздел </w:t>
      </w:r>
      <w:r>
        <w:fldChar w:fldCharType="begin"/>
      </w:r>
      <w:r>
        <w:instrText xml:space="preserve"> REF _Ref125550270 \r \h </w:instrText>
      </w:r>
      <w:r>
        <w:fldChar w:fldCharType="separate"/>
      </w:r>
      <w:r>
        <w:t xml:space="preserve">8.4</w:t>
      </w:r>
      <w:r>
        <w:fldChar w:fldCharType="end"/>
      </w:r>
      <w:r>
        <w:t xml:space="preserve">), параметры деятельнос</w:t>
      </w:r>
      <w:r>
        <w:t xml:space="preserve">ти членов Коллективного участника, такие как наличие требуемого опыта, обеспеченность материально-техническими ресурсами и кадровыми ресурсами, суммируются по каждому такому показателю (Коллективный участник должен в совокупности отвечать установленным ква</w:t>
      </w:r>
      <w:r>
        <w:t xml:space="preserve">лификационным требованиям по каждому показателю). При этом в части определения требуемого опыта к суммированию принимается опыт только тех членов Коллективного участника, которым в соответствии с Планом распределения объемов поставки продукции (форма 10) (</w:t>
      </w:r>
      <w:hyperlink w:tooltip="#Прил04_ФормыЗаявки" w:anchor="Прил04_ФормыЗаявки" w:history="1">
        <w:r>
          <w:rPr>
            <w:rStyle w:val="1311"/>
          </w:rPr>
          <w:t xml:space="preserve">Приложение № 4</w:t>
        </w:r>
      </w:hyperlink>
      <w:r>
        <w:t xml:space="preserve">) будет поручена непосредственная поставка продукции, требующая наличия указанного опыта.</w:t>
      </w:r>
      <w:bookmarkEnd w:id="89"/>
      <w:r/>
      <w:r/>
    </w:p>
    <w:p>
      <w:pPr>
        <w:pStyle w:val="1338"/>
        <w:keepNext/>
        <w:spacing w:before="0" w:after="0"/>
      </w:pPr>
      <w:r/>
      <w:bookmarkStart w:id="90" w:name="_Ref125361726"/>
      <w:r>
        <w:t xml:space="preserve">Любое юридическое или физическое лицо (в том числе индивидуальный предприниматель) может входить в состав только одного Коллективного участника и при этом не имеет права одновременно:</w:t>
      </w:r>
      <w:bookmarkEnd w:id="90"/>
      <w:r/>
      <w:r/>
    </w:p>
    <w:p>
      <w:pPr>
        <w:pStyle w:val="1339"/>
        <w:spacing w:before="120" w:after="0"/>
      </w:pPr>
      <w:r>
        <w:t xml:space="preserve">принимать участие в этой же закупке самостоятельно;</w:t>
      </w:r>
      <w:r/>
    </w:p>
    <w:p>
      <w:pPr>
        <w:pStyle w:val="1339"/>
        <w:spacing w:before="0" w:after="0"/>
      </w:pPr>
      <w:r>
        <w:t xml:space="preserve">принимать участие в этой же закупке в качестве Генерального подрядчика или субподрядчика (подраздел </w:t>
      </w:r>
      <w:r>
        <w:fldChar w:fldCharType="begin"/>
      </w:r>
      <w:r>
        <w:instrText xml:space="preserve"> REF _Ref125361702 \r \h </w:instrText>
      </w:r>
      <w:r>
        <w:fldChar w:fldCharType="separate"/>
      </w:r>
      <w:r>
        <w:t xml:space="preserve">3.3</w:t>
      </w:r>
      <w:r>
        <w:fldChar w:fldCharType="end"/>
      </w:r>
      <w:r>
        <w:t xml:space="preserve">).</w:t>
      </w:r>
      <w:r/>
    </w:p>
    <w:p>
      <w:pPr>
        <w:pStyle w:val="1342"/>
        <w:ind w:left="1134" w:firstLine="0"/>
      </w:pPr>
      <w:r>
        <w:t xml:space="preserve">В случае невыполнения данного требования все заявки с участием таких лиц будут отклонены.</w:t>
      </w:r>
      <w:r/>
    </w:p>
    <w:p>
      <w:pPr>
        <w:pStyle w:val="1338"/>
        <w:spacing w:before="120" w:after="0"/>
      </w:pPr>
      <w:r>
        <w:t xml:space="preserve">В случае несоответствия какого-либо из заявленных членов Коллективного участника установленным требованиям (</w:t>
      </w:r>
      <w:hyperlink w:tooltip="#Прил03_ТребованияУчастникам" w:anchor="Прил03_ТребованияУчастникам" w:history="1">
        <w:r>
          <w:rPr>
            <w:rStyle w:val="1311"/>
          </w:rPr>
          <w:t xml:space="preserve">Приложение № 3</w:t>
        </w:r>
      </w:hyperlink>
      <w:r>
        <w:rPr>
          <w:rStyle w:val="1311"/>
        </w:rPr>
        <w:t xml:space="preserve">)</w:t>
      </w:r>
      <w:r>
        <w:t xml:space="preserve">, а также при несоблюдении вышеуказанных норм настоящего подраздела, заявка такого Коллективного участника отклоняется.</w:t>
      </w:r>
      <w:r/>
    </w:p>
    <w:p>
      <w:pPr>
        <w:pStyle w:val="1338"/>
        <w:spacing w:before="0" w:after="0"/>
      </w:pPr>
      <w:r>
        <w:t xml:space="preserve">Заявка, которую подает Коллективный участник, может быть отклонена, если в процессе закупки до выбора Победителя выяснится, что из состава Коллективного участника вышел один или несколько его членов.</w:t>
      </w:r>
      <w:r/>
    </w:p>
    <w:p>
      <w:pPr>
        <w:pStyle w:val="1338"/>
        <w:spacing w:before="0" w:after="0"/>
      </w:pPr>
      <w:r>
        <w:t xml:space="preserve">Заказчик имеет право на одностороннее расторжение / незаключение Договора, если из состава Коллективного участника вышел один или несколько его членов.</w:t>
      </w:r>
      <w:r/>
    </w:p>
    <w:p>
      <w:pPr>
        <w:pStyle w:val="1337"/>
        <w:spacing w:before="360" w:after="0"/>
      </w:pPr>
      <w:r/>
      <w:bookmarkStart w:id="91" w:name="_Toc230928839"/>
      <w:r/>
      <w:bookmarkStart w:id="92" w:name="_Ref125361702"/>
      <w:r>
        <w:t xml:space="preserve">Генеральные подрядчики</w:t>
      </w:r>
      <w:bookmarkEnd w:id="91"/>
      <w:r/>
      <w:bookmarkEnd w:id="92"/>
      <w:r/>
      <w:r/>
    </w:p>
    <w:p>
      <w:pPr>
        <w:pStyle w:val="1338"/>
        <w:spacing w:before="120" w:after="0"/>
      </w:pPr>
      <w:r>
        <w:t xml:space="preserve">Нормы настоящего подраздела применяются только, если подразделом </w:t>
      </w:r>
      <w:r>
        <w:fldChar w:fldCharType="begin"/>
      </w:r>
      <w:r>
        <w:instrText xml:space="preserve"> REF _Ref125359973 \r \h </w:instrText>
      </w:r>
      <w:r>
        <w:fldChar w:fldCharType="separate"/>
      </w:r>
      <w:r>
        <w:t xml:space="preserve">1.2</w:t>
      </w:r>
      <w:r>
        <w:fldChar w:fldCharType="end"/>
      </w:r>
      <w:r>
        <w:t xml:space="preserve"> предусмотрено рассмотрение и оценка заявок Участников с учетом привлекаемых субподрядчиков.</w:t>
      </w:r>
      <w:r/>
    </w:p>
    <w:p>
      <w:pPr>
        <w:pStyle w:val="1338"/>
        <w:spacing w:before="0" w:after="0"/>
      </w:pPr>
      <w:r>
        <w:t xml:space="preserve">Если </w:t>
      </w:r>
      <w:r>
        <w:t xml:space="preserve">заявка подается Участником от лица Генерального подрядчика, дополнительно должны быть выполнены требования настоящего подраздела, а также требования к дополнительным документам, предоставляемым таким Участником в составе заявки, установленные в подразделе </w:t>
      </w:r>
      <w:r>
        <w:fldChar w:fldCharType="begin"/>
      </w:r>
      <w:r>
        <w:instrText xml:space="preserve"> REF _Ref125709777 \r \h </w:instrText>
      </w:r>
      <w:r>
        <w:fldChar w:fldCharType="separate"/>
      </w:r>
      <w:r>
        <w:t xml:space="preserve">8.6</w:t>
      </w:r>
      <w:r>
        <w:fldChar w:fldCharType="end"/>
      </w:r>
      <w:r>
        <w:t xml:space="preserve"> </w:t>
      </w:r>
      <w:hyperlink w:tooltip="#Прил03_ТребованияУчастникам" w:anchor="Прил03_ТребованияУчастникам" w:history="1">
        <w:r>
          <w:rPr>
            <w:rStyle w:val="1311"/>
          </w:rPr>
          <w:t xml:space="preserve">Требований к Участникам (Приложение № 3)</w:t>
        </w:r>
      </w:hyperlink>
      <w:r>
        <w:t xml:space="preserve">.</w:t>
      </w:r>
      <w:r/>
    </w:p>
    <w:p>
      <w:pPr>
        <w:pStyle w:val="1338"/>
        <w:keepNext/>
        <w:spacing w:before="0" w:after="0"/>
      </w:pPr>
      <w:r>
        <w:t xml:space="preserve">Генеральный подрядчик:</w:t>
      </w:r>
      <w:r/>
    </w:p>
    <w:p>
      <w:pPr>
        <w:pStyle w:val="1339"/>
        <w:spacing w:before="120" w:after="0"/>
      </w:pPr>
      <w:r>
        <w:t xml:space="preserve">должен самостоятельно отвечать всем обязательным требованиям к Участникам (подраздел </w:t>
      </w:r>
      <w:r>
        <w:fldChar w:fldCharType="begin"/>
      </w:r>
      <w:r>
        <w:instrText xml:space="preserve"> REF _Ref125361435 \r \h </w:instrText>
      </w:r>
      <w:r>
        <w:fldChar w:fldCharType="separate"/>
      </w:r>
      <w:r>
        <w:t xml:space="preserve">8.2</w:t>
      </w:r>
      <w:r>
        <w:fldChar w:fldCharType="end"/>
      </w:r>
      <w:r>
        <w:t xml:space="preserve">);</w:t>
      </w:r>
      <w:r/>
    </w:p>
    <w:p>
      <w:pPr>
        <w:pStyle w:val="1339"/>
        <w:spacing w:before="0" w:after="0"/>
      </w:pPr>
      <w:r>
        <w:t xml:space="preserve">в рамках специальных требований (подраздел </w:t>
      </w:r>
      <w:r>
        <w:fldChar w:fldCharType="begin"/>
      </w:r>
      <w:r>
        <w:instrText xml:space="preserve"> REF _Ref125709153 \r \h </w:instrText>
      </w:r>
      <w:r>
        <w:fldChar w:fldCharType="separate"/>
      </w:r>
      <w:r>
        <w:t xml:space="preserve">8.3</w:t>
      </w:r>
      <w:r>
        <w:fldChar w:fldCharType="end"/>
      </w:r>
      <w:r>
        <w:t xml:space="preserve">), касающихся членства в саморегулируемых организациях (в случае их установления), должен иметь соответствующее членство с учетом требований законодательства к такому членству;</w:t>
      </w:r>
      <w:r/>
    </w:p>
    <w:p>
      <w:pPr>
        <w:pStyle w:val="1339"/>
        <w:spacing w:before="0" w:after="0"/>
      </w:pPr>
      <w:r>
        <w:t xml:space="preserve">в рамках остальных специальных требований и квалификационных требований (подраздел </w:t>
      </w:r>
      <w:r>
        <w:fldChar w:fldCharType="begin"/>
      </w:r>
      <w:r>
        <w:instrText xml:space="preserve"> REF _Ref125709154 \r \h </w:instrText>
      </w:r>
      <w:r>
        <w:fldChar w:fldCharType="separate"/>
      </w:r>
      <w:r>
        <w:t xml:space="preserve">8.4</w:t>
      </w:r>
      <w:r>
        <w:fldChar w:fldCharType="end"/>
      </w:r>
      <w:r>
        <w:t xml:space="preserve">) (в случае их установления) должен отвечать им только в части объема поставки продукции, который ему предполагается поручить в соответствии с Планом распределения объемов поставки продукции (форма 10) (</w:t>
      </w:r>
      <w:hyperlink w:tooltip="#Прил04_ФормыЗаявки" w:anchor="Прил04_ФормыЗаявки" w:history="1">
        <w:r>
          <w:rPr>
            <w:rStyle w:val="1311"/>
          </w:rPr>
          <w:t xml:space="preserve">Приложение № 4</w:t>
        </w:r>
      </w:hyperlink>
      <w:r>
        <w:t xml:space="preserve">).</w:t>
      </w:r>
      <w:r/>
    </w:p>
    <w:p>
      <w:pPr>
        <w:pStyle w:val="1338"/>
        <w:keepNext/>
        <w:spacing w:before="120" w:after="0"/>
      </w:pPr>
      <w:r>
        <w:t xml:space="preserve">Каждый субподрядчик из привлекаемых Генеральным подрядчиком должен отвечать:</w:t>
      </w:r>
      <w:r/>
    </w:p>
    <w:p>
      <w:pPr>
        <w:pStyle w:val="1339"/>
        <w:spacing w:before="120" w:after="0"/>
      </w:pPr>
      <w:r>
        <w:t xml:space="preserve">обязательным требованиям (подраздел </w:t>
      </w:r>
      <w:r>
        <w:fldChar w:fldCharType="begin"/>
      </w:r>
      <w:r>
        <w:instrText xml:space="preserve"> REF _Ref125361435 \r \h </w:instrText>
      </w:r>
      <w:r>
        <w:fldChar w:fldCharType="separate"/>
      </w:r>
      <w:r>
        <w:t xml:space="preserve">8.2</w:t>
      </w:r>
      <w:r>
        <w:fldChar w:fldCharType="end"/>
      </w:r>
      <w:r>
        <w:t xml:space="preserve">);</w:t>
      </w:r>
      <w:r/>
    </w:p>
    <w:p>
      <w:pPr>
        <w:pStyle w:val="1339"/>
        <w:spacing w:before="0" w:after="0"/>
      </w:pPr>
      <w:r>
        <w:t xml:space="preserve">специальным требованиям (подраздел </w:t>
      </w:r>
      <w:r>
        <w:fldChar w:fldCharType="begin"/>
      </w:r>
      <w:r>
        <w:instrText xml:space="preserve"> REF _Ref125709153 \r \h </w:instrText>
      </w:r>
      <w:r>
        <w:fldChar w:fldCharType="separate"/>
      </w:r>
      <w:r>
        <w:t xml:space="preserve">8.3</w:t>
      </w:r>
      <w:r>
        <w:fldChar w:fldCharType="end"/>
      </w:r>
      <w:r>
        <w:t xml:space="preserve">) (в случае их установления), за исключением требования о наличии членства в саморегулируемых организациях;</w:t>
      </w:r>
      <w:r/>
    </w:p>
    <w:p>
      <w:pPr>
        <w:pStyle w:val="1339"/>
        <w:spacing w:before="0" w:after="0"/>
      </w:pPr>
      <w:r>
        <w:t xml:space="preserve">квалификационным требованиям (подраздел </w:t>
      </w:r>
      <w:r>
        <w:fldChar w:fldCharType="begin"/>
      </w:r>
      <w:r>
        <w:instrText xml:space="preserve"> REF _Ref125709154 \r \h </w:instrText>
      </w:r>
      <w:r>
        <w:fldChar w:fldCharType="separate"/>
      </w:r>
      <w:r>
        <w:t xml:space="preserve">8.4</w:t>
      </w:r>
      <w:r>
        <w:fldChar w:fldCharType="end"/>
      </w:r>
      <w:r>
        <w:t xml:space="preserve">) (в случае их установления).</w:t>
      </w:r>
      <w:r/>
    </w:p>
    <w:p>
      <w:pPr>
        <w:pStyle w:val="1342"/>
        <w:ind w:left="1134" w:firstLine="0"/>
      </w:pPr>
      <w:r/>
      <w:bookmarkStart w:id="93" w:name="_Ref125368863"/>
      <w:r>
        <w:t xml:space="preserve">При этом соответствовать специальным и квалификационным требованиям субподрядчик должен только в части объема поставки продукции, который ему поручен </w:t>
      </w:r>
      <w:bookmarkEnd w:id="93"/>
      <w:r>
        <w:t xml:space="preserve">в соответствии с Планом распределения объемов поставки продукции (форма 10) (</w:t>
      </w:r>
      <w:hyperlink w:tooltip="#Прил04_ФормыЗаявки" w:anchor="Прил04_ФормыЗаявки" w:history="1">
        <w:r>
          <w:rPr>
            <w:rStyle w:val="1311"/>
          </w:rPr>
          <w:t xml:space="preserve">Приложение № 4</w:t>
        </w:r>
      </w:hyperlink>
      <w:r>
        <w:t xml:space="preserve">).</w:t>
      </w:r>
      <w:r/>
    </w:p>
    <w:p>
      <w:pPr>
        <w:pStyle w:val="1338"/>
        <w:spacing w:before="120" w:after="0"/>
      </w:pPr>
      <w:r>
        <w:t xml:space="preserve">При оценке и сопоставлении заявки Генерального подрядчика по квалификационным критериям (если они установлены в </w:t>
      </w:r>
      <w:hyperlink w:tooltip="#Прил08_ПорядокОценки" w:anchor="Прил08_ПорядокОценки" w:history="1">
        <w:r>
          <w:rPr>
            <w:rStyle w:val="1311"/>
          </w:rPr>
          <w:t xml:space="preserve">Порядке и критериях оценки и сопоставления заявок (Приложение № 8)</w:t>
        </w:r>
      </w:hyperlink>
      <w:r>
        <w:t xml:space="preserve">) количественные параметры деятельности Генерального подрядчика и субподрядчиков суммируются (наличие требуемого опыта, обеспеченность материально-техническими ресурсами и кадровыми ресурсами).</w:t>
      </w:r>
      <w:r/>
    </w:p>
    <w:p>
      <w:pPr>
        <w:pStyle w:val="1338"/>
        <w:spacing w:before="0" w:after="0"/>
      </w:pPr>
      <w:r/>
      <w:bookmarkStart w:id="94" w:name="_Ref125361799"/>
      <w:r>
        <w:t xml:space="preserve">Любое юридическое или физическое лицо (в том числе и</w:t>
      </w:r>
      <w:r>
        <w:t xml:space="preserve">ндивидуальный предприниматель) может являться субподрядчиком у произвольного числа Генеральных подрядчиков, а также имеет право самостоятельно принимать участие в закупке. При этом субподрядчики не могут входить в состав Коллективных участников (подраздел </w:t>
      </w:r>
      <w:r>
        <w:fldChar w:fldCharType="begin"/>
      </w:r>
      <w:r>
        <w:instrText xml:space="preserve"> REF _Ref130308203 \r \h </w:instrText>
      </w:r>
      <w:r>
        <w:fldChar w:fldCharType="separate"/>
      </w:r>
      <w:r>
        <w:t xml:space="preserve">3.2</w:t>
      </w:r>
      <w:r>
        <w:fldChar w:fldCharType="end"/>
      </w:r>
      <w:r>
        <w:t xml:space="preserve">). Каждый Гене</w:t>
      </w:r>
      <w:r>
        <w:t xml:space="preserve">ральный подрядчик может подать только одну заявку и не может быть субподрядчиком у других Генеральных подрядчиков, а также не может входить в состав Коллективных участников. В случае невыполнения этих требований заявки с участием таких лиц будут отклонены.</w:t>
      </w:r>
      <w:bookmarkEnd w:id="94"/>
      <w:r/>
      <w:r/>
    </w:p>
    <w:p>
      <w:pPr>
        <w:pStyle w:val="1338"/>
        <w:spacing w:before="0" w:after="0"/>
      </w:pPr>
      <w:r>
        <w:t xml:space="preserve">Если подразделом </w:t>
      </w:r>
      <w:r>
        <w:fldChar w:fldCharType="begin"/>
      </w:r>
      <w:r>
        <w:instrText xml:space="preserve"> REF _Ref125359973 \r \h </w:instrText>
      </w:r>
      <w:r>
        <w:fldChar w:fldCharType="separate"/>
      </w:r>
      <w:r>
        <w:t xml:space="preserve">1.2</w:t>
      </w:r>
      <w:r>
        <w:fldChar w:fldCharType="end"/>
      </w:r>
      <w:r>
        <w:t xml:space="preserve"> не предусмотрены рассмотрение и оценка заявок Участн</w:t>
      </w:r>
      <w:r>
        <w:t xml:space="preserve">иков с учетом привлекаемых субподрядчиков, то при рассмотрении и оценке заявок к учету принимаются исключительно сведения о самом Участнике, в связи с чем Участник не обязан предоставлять документы на привлекаемых им субподрядчиков, указанные в подразделе </w:t>
      </w:r>
      <w:r>
        <w:fldChar w:fldCharType="begin"/>
      </w:r>
      <w:r>
        <w:instrText xml:space="preserve"> REF _Ref125709973 \r \h </w:instrText>
      </w:r>
      <w:r>
        <w:fldChar w:fldCharType="separate"/>
      </w:r>
      <w:r>
        <w:t xml:space="preserve">8.6</w:t>
      </w:r>
      <w:r>
        <w:fldChar w:fldCharType="end"/>
      </w:r>
      <w:r>
        <w:t xml:space="preserve"> </w:t>
      </w:r>
      <w:hyperlink w:tooltip="#Прил03_ТребованияУчастникам" w:anchor="Прил03_ТребованияУчастникам" w:history="1">
        <w:r>
          <w:rPr>
            <w:rStyle w:val="1311"/>
          </w:rPr>
          <w:t xml:space="preserve">Требований к Участникам (Приложение № 3)</w:t>
        </w:r>
      </w:hyperlink>
      <w:r>
        <w:t xml:space="preserve">.Ответственность за соответствие в ходе исполнения обязательств по Договору привлекаемых субподрядчиков требованиям Документации о закупке в этом случае возлагается на самого Участника.</w:t>
      </w:r>
      <w:r/>
    </w:p>
    <w:p>
      <w:pPr>
        <w:pStyle w:val="1337"/>
        <w:spacing w:before="360" w:after="0"/>
      </w:pPr>
      <w:r/>
      <w:bookmarkStart w:id="95" w:name="_Toc230928840"/>
      <w:r/>
      <w:bookmarkStart w:id="96" w:name="_Ref127524203"/>
      <w:r>
        <w:t xml:space="preserve">Привлечение субподрядчиков (соисполнителей) из числа субъектов МСП</w:t>
      </w:r>
      <w:bookmarkEnd w:id="95"/>
      <w:r/>
      <w:bookmarkEnd w:id="96"/>
      <w:r/>
      <w:r/>
    </w:p>
    <w:p>
      <w:pPr>
        <w:pStyle w:val="1338"/>
        <w:spacing w:before="120" w:after="0"/>
      </w:pPr>
      <w:r>
        <w:t xml:space="preserve">Нормы настоящего подраздела применяются, если подразделом </w:t>
      </w:r>
      <w:r>
        <w:fldChar w:fldCharType="begin"/>
      </w:r>
      <w:r>
        <w:instrText xml:space="preserve"> REF _Ref125359973 \r \h </w:instrText>
      </w:r>
      <w:r>
        <w:fldChar w:fldCharType="separate"/>
      </w:r>
      <w:r>
        <w:t xml:space="preserve">1.2</w:t>
      </w:r>
      <w:r>
        <w:fldChar w:fldCharType="end"/>
      </w:r>
      <w:r>
        <w:t xml:space="preserve"> предусмотрена обязанность Участников по привлечению к исполнению Договора субподрядчиков (соисполнителей) из числа субъектов МСП.</w:t>
      </w:r>
      <w:r/>
    </w:p>
    <w:p>
      <w:pPr>
        <w:pStyle w:val="1338"/>
        <w:spacing w:before="0" w:after="0"/>
      </w:pPr>
      <w:r>
        <w:t xml:space="preserve">Помимо требований настоящего подраздела, Участник также должен выполнить требования к дополнительным документам, предоставляемым им в составе заявки, установленные в подразделе </w:t>
      </w:r>
      <w:r>
        <w:fldChar w:fldCharType="begin"/>
      </w:r>
      <w:r>
        <w:instrText xml:space="preserve"> REF _Ref125550523 \r \h </w:instrText>
      </w:r>
      <w:r>
        <w:fldChar w:fldCharType="separate"/>
      </w:r>
      <w:r>
        <w:t xml:space="preserve">8.7</w:t>
      </w:r>
      <w:r>
        <w:fldChar w:fldCharType="end"/>
      </w:r>
      <w:r>
        <w:t xml:space="preserve"> </w:t>
      </w:r>
      <w:hyperlink w:tooltip="#Прил03_ТребованияУчастникам" w:anchor="Прил03_ТребованияУчастникам" w:history="1">
        <w:r>
          <w:rPr>
            <w:rStyle w:val="1311"/>
          </w:rPr>
          <w:t xml:space="preserve">Требований к Участникам (Приложение № 3)</w:t>
        </w:r>
      </w:hyperlink>
      <w:r>
        <w:t xml:space="preserve">. При этом в Плане распределения объемов поставки продукции (форма 10) (</w:t>
      </w:r>
      <w:hyperlink w:tooltip="#Прил04_ФормыЗаявки" w:anchor="Прил04_ФормыЗаявки" w:history="1">
        <w:r>
          <w:rPr>
            <w:rStyle w:val="1311"/>
          </w:rPr>
          <w:t xml:space="preserve">Приложение № 4</w:t>
        </w:r>
      </w:hyperlink>
      <w:r>
        <w:t xml:space="preserve">) Участник должен указать привлекаемых им субподрядчиков (соисполнителей) из числа субъектов МСП, а также является ли самостоятельно Участник субъектом МСП.</w:t>
      </w:r>
      <w:r/>
    </w:p>
    <w:p>
      <w:pPr>
        <w:pStyle w:val="1338"/>
        <w:spacing w:before="0" w:after="0"/>
      </w:pPr>
      <w:r>
        <w:t xml:space="preserve">При этом требования подраздела </w:t>
      </w:r>
      <w:r>
        <w:fldChar w:fldCharType="begin"/>
      </w:r>
      <w:r>
        <w:instrText xml:space="preserve"> REF _Ref125550523 \r \h </w:instrText>
      </w:r>
      <w:r>
        <w:fldChar w:fldCharType="separate"/>
      </w:r>
      <w:r>
        <w:t xml:space="preserve">8.7</w:t>
      </w:r>
      <w:r>
        <w:fldChar w:fldCharType="end"/>
      </w:r>
      <w:r>
        <w:t xml:space="preserve"> </w:t>
      </w:r>
      <w:hyperlink w:tooltip="#Прил03_ТребованияУчастникам" w:anchor="Прил03_ТребованияУчастникам" w:history="1">
        <w:r>
          <w:rPr>
            <w:rStyle w:val="1311"/>
          </w:rPr>
          <w:t xml:space="preserve">Требований к Участникам (Приложение № 3)</w:t>
        </w:r>
      </w:hyperlink>
      <w:r>
        <w:t xml:space="preserve"> применяются вне зависимости от порядка рассмотрения и оценки заявок участников, являющихся Генеральными подрядчиками (с учетом субподрядчиков, или без учета субподрядчиков) (подраздел </w:t>
      </w:r>
      <w:r>
        <w:fldChar w:fldCharType="begin"/>
      </w:r>
      <w:r>
        <w:instrText xml:space="preserve"> REF _Ref125361702 \r \h </w:instrText>
      </w:r>
      <w:r>
        <w:fldChar w:fldCharType="separate"/>
      </w:r>
      <w:r>
        <w:t xml:space="preserve">3.3</w:t>
      </w:r>
      <w:r>
        <w:fldChar w:fldCharType="end"/>
      </w:r>
      <w:r>
        <w:t xml:space="preserve">).</w:t>
      </w:r>
      <w:r/>
    </w:p>
    <w:p>
      <w:pPr>
        <w:pStyle w:val="1338"/>
        <w:spacing w:before="0" w:after="0"/>
      </w:pPr>
      <w:r/>
      <w:bookmarkStart w:id="97" w:name="_Ref125473377"/>
      <w:r>
        <w:t xml:space="preserve">Участник считается выполнившим требование по привлечению к исполнению Договора субподрядчиков (соисполнителей) из числа субъектов МСП, при условии предоставления информации, указанной в Плане распределения объемов поставки продукции (форма 10) (</w:t>
      </w:r>
      <w:hyperlink w:tooltip="#Прил04_ФормыЗаявки" w:anchor="Прил04_ФормыЗаявки" w:history="1">
        <w:r>
          <w:rPr>
            <w:rStyle w:val="1311"/>
          </w:rPr>
          <w:t xml:space="preserve">Приложение № 4</w:t>
        </w:r>
      </w:hyperlink>
      <w:r>
        <w:t xml:space="preserve">).</w:t>
      </w:r>
      <w:bookmarkEnd w:id="97"/>
      <w:r>
        <w:t xml:space="preserve"> В случае непредоставления этой информации или несоответствия привлекаемых субподрядчиков (соисполнителей) установленным требованиям, заявка такого Участника будет отклонена от участия в закупке.</w:t>
      </w:r>
      <w:r/>
    </w:p>
    <w:p>
      <w:pPr>
        <w:pStyle w:val="1338"/>
        <w:spacing w:before="0" w:after="0"/>
        <w:sectPr>
          <w:headerReference w:type="default" r:id="rId9"/>
          <w:footerReference w:type="default" r:id="rId24"/>
          <w:footnotePr>
            <w:numFmt w:val="decimal"/>
          </w:footnotePr>
          <w:endnotePr/>
          <w:type w:val="nextPage"/>
          <w:pgSz w:w="11906" w:h="16838" w:orient="portrait"/>
          <w:pgMar w:top="851" w:right="850" w:bottom="851" w:left="1134" w:header="567" w:footer="567" w:gutter="0"/>
          <w:cols w:num="1" w:sep="0" w:space="1701" w:equalWidth="1"/>
          <w:docGrid w:linePitch="360"/>
        </w:sectPr>
      </w:pPr>
      <w:r>
        <w:t xml:space="preserve">Если привлекаемые субъекты МСП входят в состав Коллективного участника (подраздел </w:t>
      </w:r>
      <w:r>
        <w:fldChar w:fldCharType="begin"/>
      </w:r>
      <w:r>
        <w:instrText xml:space="preserve"> REF _Ref130308255 \r \h </w:instrText>
      </w:r>
      <w:r>
        <w:fldChar w:fldCharType="separate"/>
      </w:r>
      <w:r>
        <w:t xml:space="preserve">3.2</w:t>
      </w:r>
      <w:r>
        <w:fldChar w:fldCharType="end"/>
      </w:r>
      <w:r>
        <w:t xml:space="preserve">), то объем исполнения Договора таким Коллективным участником засчитывается в исполнение требования по привлечению субъектов МСП в качестве субподрядчиков (соисполнителей), при условии выполнения остальных требований настоящего подраздела.</w:t>
      </w:r>
      <w:r/>
    </w:p>
    <w:p>
      <w:pPr>
        <w:pStyle w:val="1336"/>
        <w:spacing w:before="0" w:after="0"/>
      </w:pPr>
      <w:r/>
      <w:bookmarkStart w:id="98" w:name="_Toc230928841"/>
      <w:r/>
      <w:bookmarkStart w:id="99" w:name="_Ref125367974"/>
      <w:r/>
      <w:bookmarkStart w:id="100" w:name="_Ref125367107"/>
      <w:r/>
      <w:bookmarkStart w:id="101" w:name="_Ref125367098"/>
      <w:r/>
      <w:bookmarkStart w:id="102" w:name="_Ref125361211"/>
      <w:r>
        <w:t xml:space="preserve">Порядок проведения закупки</w:t>
      </w:r>
      <w:bookmarkEnd w:id="98"/>
      <w:r/>
      <w:bookmarkEnd w:id="99"/>
      <w:r/>
      <w:bookmarkEnd w:id="100"/>
      <w:r/>
      <w:bookmarkEnd w:id="101"/>
      <w:r/>
      <w:bookmarkEnd w:id="102"/>
      <w:r/>
      <w:r/>
    </w:p>
    <w:p>
      <w:pPr>
        <w:pStyle w:val="1337"/>
        <w:spacing w:before="360" w:after="0"/>
      </w:pPr>
      <w:r/>
      <w:bookmarkStart w:id="103" w:name="_Toc230928842"/>
      <w:r/>
      <w:bookmarkStart w:id="104" w:name="_Ref126141932"/>
      <w:r>
        <w:t xml:space="preserve">Общий порядок проведения закупки</w:t>
      </w:r>
      <w:bookmarkEnd w:id="103"/>
      <w:r/>
      <w:bookmarkEnd w:id="104"/>
      <w:r/>
      <w:r/>
    </w:p>
    <w:p>
      <w:pPr>
        <w:pStyle w:val="1338"/>
        <w:keepNext/>
        <w:spacing w:before="120" w:after="120"/>
      </w:pPr>
      <w:r>
        <w:t xml:space="preserve">Закупка проводится в следующем порядке:</w:t>
      </w:r>
      <w:r/>
    </w:p>
    <w:tbl>
      <w:tblPr>
        <w:tblStyle w:val="1505"/>
        <w:tblW w:w="14003" w:type="dxa"/>
        <w:tblInd w:w="1129" w:type="dxa"/>
        <w:tblLayout w:type="fixed"/>
        <w:tblCellMar>
          <w:left w:w="0" w:type="dxa"/>
          <w:top w:w="0" w:type="dxa"/>
          <w:right w:w="5" w:type="dxa"/>
          <w:bottom w:w="0" w:type="dxa"/>
        </w:tblCellMar>
        <w:tblLook w:val="04A0" w:firstRow="1" w:lastRow="0" w:firstColumn="1" w:lastColumn="0" w:noHBand="0" w:noVBand="1"/>
      </w:tblPr>
      <w:tblGrid>
        <w:gridCol w:w="428"/>
        <w:gridCol w:w="2221"/>
        <w:gridCol w:w="1109"/>
        <w:gridCol w:w="1112"/>
        <w:gridCol w:w="2226"/>
        <w:gridCol w:w="2409"/>
        <w:gridCol w:w="2267"/>
        <w:gridCol w:w="2230"/>
      </w:tblGrid>
      <w:tr>
        <w:tblPrEx/>
        <w:trPr/>
        <w:tc>
          <w:tcPr>
            <w:tcBorders>
              <w:left w:val="none" w:color="000000" w:sz="4" w:space="0"/>
            </w:tcBorders>
            <w:tcW w:w="428" w:type="dxa"/>
            <w:vAlign w:val="bottom"/>
            <w:textDirection w:val="lrTb"/>
            <w:noWrap w:val="false"/>
          </w:tcPr>
          <w:p>
            <w:pPr>
              <w:pStyle w:val="1342"/>
              <w:jc w:val="center"/>
              <w:keepLines w:val="0"/>
              <w:keepNext/>
              <w:spacing w:before="40" w:after="40" w:line="240" w:lineRule="auto"/>
              <w:widowControl w:val="off"/>
              <w:rPr>
                <w:b w:val="0"/>
                <w:bCs/>
                <w:sz w:val="24"/>
                <w:szCs w:val="24"/>
              </w:rPr>
            </w:pPr>
            <w:r>
              <w:rPr>
                <w:rFonts w:ascii="Wingdings 3" w:hAnsi="Wingdings 3" w:eastAsia="Wingdings 3" w:cs="Wingdings 3"/>
                <w:b w:val="0"/>
                <w:bCs/>
                <w:sz w:val="24"/>
                <w:szCs w:val="24"/>
                <w:lang w:val="ru-RU" w:eastAsia="en-US" w:bidi="ar-SA"/>
              </w:rPr>
              <w:t xml:space="preserve">Ô</w:t>
            </w:r>
            <w:r>
              <w:rPr>
                <w:b w:val="0"/>
                <w:bCs/>
                <w:sz w:val="24"/>
                <w:szCs w:val="24"/>
              </w:rPr>
            </w:r>
            <w:r>
              <w:rPr>
                <w:b w:val="0"/>
                <w:bCs/>
                <w:sz w:val="24"/>
                <w:szCs w:val="24"/>
              </w:rPr>
            </w:r>
          </w:p>
        </w:tc>
        <w:tc>
          <w:tcPr>
            <w:gridSpan w:val="7"/>
            <w:tcBorders>
              <w:right w:val="none" w:color="000000" w:sz="4" w:space="0"/>
            </w:tcBorders>
            <w:tcW w:w="13574" w:type="dxa"/>
            <w:textDirection w:val="lrTb"/>
            <w:noWrap w:val="false"/>
          </w:tcPr>
          <w:p>
            <w:pPr>
              <w:pStyle w:val="1342"/>
              <w:jc w:val="center"/>
              <w:keepLines w:val="0"/>
              <w:keepNext/>
              <w:spacing w:before="40" w:after="40" w:line="240" w:lineRule="auto"/>
              <w:widowControl w:val="off"/>
              <w:rPr>
                <w:b w:val="0"/>
                <w:bCs/>
                <w:sz w:val="24"/>
                <w:szCs w:val="24"/>
              </w:rPr>
            </w:pPr>
            <w:r>
              <w:rPr>
                <w:rFonts w:eastAsia="Calibri" w:cs="Arial"/>
                <w:b/>
                <w:bCs/>
                <w:sz w:val="24"/>
                <w:szCs w:val="24"/>
                <w:lang w:val="ru-RU" w:eastAsia="en-US" w:bidi="ar-SA"/>
              </w:rPr>
              <w:t xml:space="preserve">Официальное размещение Извещения и Документации о закупке (подраздел </w:t>
            </w:r>
            <w:r>
              <w:rPr>
                <w:rFonts w:eastAsia="Calibri" w:cs="Arial"/>
                <w:b/>
                <w:bCs/>
                <w:sz w:val="24"/>
                <w:szCs w:val="24"/>
                <w:lang w:val="ru-RU" w:eastAsia="en-US" w:bidi="ar-SA"/>
              </w:rPr>
              <w:fldChar w:fldCharType="begin"/>
            </w:r>
            <w:r>
              <w:rPr>
                <w:rFonts w:eastAsia="Calibri" w:cs="Arial"/>
                <w:b/>
                <w:bCs/>
                <w:sz w:val="24"/>
                <w:szCs w:val="24"/>
                <w:lang w:val="ru-RU" w:eastAsia="en-US" w:bidi="ar-SA"/>
              </w:rPr>
              <w:instrText xml:space="preserve"> REF _Ref130286532 \r \h </w:instrText>
            </w:r>
            <w:r>
              <w:rPr>
                <w:rFonts w:eastAsia="Calibri" w:cs="Arial"/>
                <w:b/>
                <w:bCs/>
                <w:sz w:val="24"/>
                <w:szCs w:val="24"/>
                <w:lang w:val="ru-RU" w:eastAsia="en-US" w:bidi="ar-SA"/>
              </w:rPr>
              <w:fldChar w:fldCharType="separate"/>
            </w:r>
            <w:r>
              <w:rPr>
                <w:rFonts w:eastAsia="Calibri" w:cs="Arial"/>
                <w:b/>
                <w:bCs/>
                <w:sz w:val="24"/>
                <w:szCs w:val="24"/>
                <w:lang w:val="ru-RU" w:eastAsia="en-US" w:bidi="ar-SA"/>
              </w:rPr>
              <w:t xml:space="preserve">4.2</w:t>
            </w:r>
            <w:r>
              <w:rPr>
                <w:rFonts w:eastAsia="Calibri" w:cs="Arial"/>
                <w:b/>
                <w:bCs/>
                <w:sz w:val="24"/>
                <w:szCs w:val="24"/>
                <w:lang w:val="ru-RU" w:eastAsia="en-US" w:bidi="ar-SA"/>
              </w:rPr>
              <w:fldChar w:fldCharType="end"/>
            </w:r>
            <w:r>
              <w:rPr>
                <w:rFonts w:eastAsia="Calibri" w:cs="Arial"/>
                <w:b/>
                <w:bCs/>
                <w:sz w:val="24"/>
                <w:szCs w:val="24"/>
                <w:lang w:val="ru-RU" w:eastAsia="en-US" w:bidi="ar-SA"/>
              </w:rPr>
              <w:t xml:space="preserve">)</w:t>
            </w:r>
            <w:r>
              <w:rPr>
                <w:b w:val="0"/>
                <w:bCs/>
                <w:sz w:val="24"/>
                <w:szCs w:val="24"/>
              </w:rPr>
            </w:r>
            <w:r>
              <w:rPr>
                <w:b w:val="0"/>
                <w:bCs/>
                <w:sz w:val="24"/>
                <w:szCs w:val="24"/>
              </w:rPr>
            </w:r>
          </w:p>
        </w:tc>
      </w:tr>
      <w:tr>
        <w:tblPrEx/>
        <w:trPr/>
        <w:tc>
          <w:tcPr>
            <w:tcBorders>
              <w:left w:val="none" w:color="000000" w:sz="4" w:space="0"/>
            </w:tcBorders>
            <w:tcW w:w="428" w:type="dxa"/>
            <w:vAlign w:val="bottom"/>
            <w:textDirection w:val="lrTb"/>
            <w:noWrap w:val="false"/>
          </w:tcPr>
          <w:p>
            <w:pPr>
              <w:pStyle w:val="1342"/>
              <w:jc w:val="center"/>
              <w:spacing w:before="40" w:after="40" w:line="240" w:lineRule="auto"/>
              <w:widowControl w:val="off"/>
              <w:rPr>
                <w:bCs/>
                <w:sz w:val="24"/>
                <w:szCs w:val="24"/>
              </w:rPr>
            </w:pPr>
            <w:r>
              <w:rPr>
                <w:rFonts w:ascii="Wingdings 3" w:hAnsi="Wingdings 3" w:eastAsia="Wingdings 3" w:cs="Wingdings 3"/>
                <w:bCs/>
                <w:sz w:val="24"/>
                <w:szCs w:val="24"/>
                <w:lang w:val="ru-RU" w:eastAsia="en-US" w:bidi="ar-SA"/>
              </w:rPr>
              <w:t xml:space="preserve">Ô</w:t>
            </w:r>
            <w:r>
              <w:rPr>
                <w:bCs/>
                <w:sz w:val="24"/>
                <w:szCs w:val="24"/>
              </w:rPr>
            </w:r>
            <w:r>
              <w:rPr>
                <w:bCs/>
                <w:sz w:val="24"/>
                <w:szCs w:val="24"/>
              </w:rPr>
            </w:r>
          </w:p>
        </w:tc>
        <w:tc>
          <w:tcPr>
            <w:gridSpan w:val="4"/>
            <w:tcW w:w="6668" w:type="dxa"/>
            <w:textDirection w:val="lrTb"/>
            <w:noWrap w:val="false"/>
          </w:tcPr>
          <w:p>
            <w:pPr>
              <w:pStyle w:val="1342"/>
              <w:jc w:val="center"/>
              <w:spacing w:before="40" w:after="40" w:line="240" w:lineRule="auto"/>
              <w:widowControl w:val="off"/>
              <w:rPr>
                <w:bCs/>
                <w:sz w:val="24"/>
                <w:szCs w:val="24"/>
              </w:rPr>
            </w:pPr>
            <w:r>
              <w:rPr>
                <w:rFonts w:eastAsia="Calibri" w:cs="Arial"/>
                <w:bCs/>
                <w:sz w:val="24"/>
                <w:szCs w:val="24"/>
                <w:lang w:val="ru-RU" w:eastAsia="en-US" w:bidi="ar-SA"/>
              </w:rPr>
              <w:t xml:space="preserve">Подготовка заявки (раздел </w:t>
            </w:r>
            <w:r>
              <w:rPr>
                <w:rFonts w:eastAsia="Calibri" w:cs="Arial"/>
                <w:bCs/>
                <w:sz w:val="24"/>
                <w:szCs w:val="24"/>
                <w:lang w:val="ru-RU" w:eastAsia="en-US" w:bidi="ar-SA"/>
              </w:rPr>
              <w:fldChar w:fldCharType="begin"/>
            </w:r>
            <w:r>
              <w:rPr>
                <w:rFonts w:eastAsia="Calibri" w:cs="Arial"/>
                <w:bCs/>
                <w:sz w:val="24"/>
                <w:szCs w:val="24"/>
                <w:lang w:val="ru-RU" w:eastAsia="en-US" w:bidi="ar-SA"/>
              </w:rPr>
              <w:instrText xml:space="preserve"> REF _Ref130281199 \r \h </w:instrText>
            </w:r>
            <w:r>
              <w:rPr>
                <w:rFonts w:eastAsia="Calibri" w:cs="Arial"/>
                <w:bCs/>
                <w:sz w:val="24"/>
                <w:szCs w:val="24"/>
                <w:lang w:val="ru-RU" w:eastAsia="en-US" w:bidi="ar-SA"/>
              </w:rPr>
              <w:fldChar w:fldCharType="separate"/>
            </w:r>
            <w:r>
              <w:rPr>
                <w:rFonts w:eastAsia="Calibri" w:cs="Arial"/>
                <w:bCs/>
                <w:sz w:val="24"/>
                <w:szCs w:val="24"/>
                <w:lang w:val="ru-RU" w:eastAsia="en-US" w:bidi="ar-SA"/>
              </w:rPr>
              <w:t xml:space="preserve">4.3</w:t>
            </w:r>
            <w:r>
              <w:rPr>
                <w:rFonts w:eastAsia="Calibri" w:cs="Arial"/>
                <w:bCs/>
                <w:sz w:val="24"/>
                <w:szCs w:val="24"/>
                <w:lang w:val="ru-RU" w:eastAsia="en-US" w:bidi="ar-SA"/>
              </w:rPr>
              <w:fldChar w:fldCharType="end"/>
            </w:r>
            <w:r>
              <w:rPr>
                <w:rFonts w:eastAsia="Calibri" w:cs="Arial"/>
                <w:bCs/>
                <w:sz w:val="24"/>
                <w:szCs w:val="24"/>
                <w:lang w:val="ru-RU" w:eastAsia="en-US" w:bidi="ar-SA"/>
              </w:rPr>
              <w:t xml:space="preserve">)</w:t>
            </w:r>
            <w:r>
              <w:rPr>
                <w:bCs/>
                <w:sz w:val="24"/>
                <w:szCs w:val="24"/>
              </w:rPr>
            </w:r>
            <w:r>
              <w:rPr>
                <w:bCs/>
                <w:sz w:val="24"/>
                <w:szCs w:val="24"/>
              </w:rPr>
            </w:r>
          </w:p>
        </w:tc>
        <w:tc>
          <w:tcPr>
            <w:tcW w:w="2409" w:type="dxa"/>
            <w:vMerge w:val="restart"/>
            <w:textDirection w:val="lrTb"/>
            <w:noWrap w:val="false"/>
          </w:tcPr>
          <w:p>
            <w:pPr>
              <w:pStyle w:val="1342"/>
              <w:jc w:val="center"/>
              <w:spacing w:before="40" w:after="40" w:line="240" w:lineRule="auto"/>
              <w:widowControl w:val="off"/>
              <w:rPr>
                <w:bCs/>
                <w:sz w:val="24"/>
                <w:szCs w:val="24"/>
              </w:rPr>
            </w:pPr>
            <w:r>
              <w:rPr>
                <w:rFonts w:eastAsia="Calibri" w:cs="Arial"/>
                <w:bCs/>
                <w:sz w:val="24"/>
                <w:szCs w:val="24"/>
                <w:lang w:val="ru-RU" w:eastAsia="en-US" w:bidi="ar-SA"/>
              </w:rPr>
              <w:t xml:space="preserve">Предоставление разъяснений положений Документации о закупке</w:t>
              <w:br/>
              <w:t xml:space="preserve">(подраздел </w:t>
            </w:r>
            <w:r>
              <w:rPr>
                <w:rFonts w:eastAsia="Calibri" w:cs="Arial"/>
                <w:bCs/>
                <w:sz w:val="24"/>
                <w:szCs w:val="24"/>
                <w:lang w:val="ru-RU" w:eastAsia="en-US" w:bidi="ar-SA"/>
              </w:rPr>
              <w:fldChar w:fldCharType="begin"/>
            </w:r>
            <w:r>
              <w:rPr>
                <w:rFonts w:eastAsia="Calibri" w:cs="Arial"/>
                <w:bCs/>
                <w:sz w:val="24"/>
                <w:szCs w:val="24"/>
                <w:lang w:val="ru-RU" w:eastAsia="en-US" w:bidi="ar-SA"/>
              </w:rPr>
              <w:instrText xml:space="preserve"> REF _Ref130394802 \r \h </w:instrText>
            </w:r>
            <w:r>
              <w:rPr>
                <w:rFonts w:eastAsia="Calibri" w:cs="Arial"/>
                <w:bCs/>
                <w:sz w:val="24"/>
                <w:szCs w:val="24"/>
                <w:lang w:val="ru-RU" w:eastAsia="en-US" w:bidi="ar-SA"/>
              </w:rPr>
              <w:fldChar w:fldCharType="separate"/>
            </w:r>
            <w:r>
              <w:rPr>
                <w:rFonts w:eastAsia="Calibri" w:cs="Arial"/>
                <w:bCs/>
                <w:sz w:val="24"/>
                <w:szCs w:val="24"/>
                <w:lang w:val="ru-RU" w:eastAsia="en-US" w:bidi="ar-SA"/>
              </w:rPr>
              <w:t xml:space="preserve">4.4</w:t>
            </w:r>
            <w:r>
              <w:rPr>
                <w:rFonts w:eastAsia="Calibri" w:cs="Arial"/>
                <w:bCs/>
                <w:sz w:val="24"/>
                <w:szCs w:val="24"/>
                <w:lang w:val="ru-RU" w:eastAsia="en-US" w:bidi="ar-SA"/>
              </w:rPr>
              <w:fldChar w:fldCharType="end"/>
            </w:r>
            <w:r>
              <w:rPr>
                <w:rFonts w:eastAsia="Calibri" w:cs="Arial"/>
                <w:bCs/>
                <w:sz w:val="24"/>
                <w:szCs w:val="24"/>
                <w:lang w:val="ru-RU" w:eastAsia="en-US" w:bidi="ar-SA"/>
              </w:rPr>
              <w:t xml:space="preserve">)</w:t>
              <w:br/>
            </w:r>
            <w:r>
              <w:rPr>
                <w:rFonts w:eastAsia="Calibri" w:cs="Arial"/>
                <w:bCs/>
                <w:i/>
                <w:iCs/>
                <w:sz w:val="24"/>
                <w:szCs w:val="24"/>
                <w:lang w:val="ru-RU" w:eastAsia="en-US" w:bidi="ar-SA"/>
              </w:rPr>
              <w:t xml:space="preserve">(опциональная процедура закупки)</w:t>
            </w:r>
            <w:r>
              <w:rPr>
                <w:bCs/>
                <w:sz w:val="24"/>
                <w:szCs w:val="24"/>
              </w:rPr>
            </w:r>
            <w:r>
              <w:rPr>
                <w:bCs/>
                <w:sz w:val="24"/>
                <w:szCs w:val="24"/>
              </w:rPr>
            </w:r>
          </w:p>
        </w:tc>
        <w:tc>
          <w:tcPr>
            <w:tcW w:w="2267" w:type="dxa"/>
            <w:vMerge w:val="restart"/>
            <w:textDirection w:val="lrTb"/>
            <w:noWrap w:val="false"/>
          </w:tcPr>
          <w:p>
            <w:pPr>
              <w:pStyle w:val="1342"/>
              <w:jc w:val="center"/>
              <w:spacing w:before="40" w:after="40" w:line="240" w:lineRule="auto"/>
              <w:widowControl w:val="off"/>
              <w:rPr>
                <w:bCs/>
                <w:sz w:val="24"/>
                <w:szCs w:val="24"/>
              </w:rPr>
            </w:pPr>
            <w:r>
              <w:rPr>
                <w:rFonts w:eastAsia="Calibri" w:cs="Arial"/>
                <w:bCs/>
                <w:sz w:val="24"/>
                <w:szCs w:val="24"/>
                <w:lang w:val="ru-RU" w:eastAsia="en-US" w:bidi="ar-SA"/>
              </w:rPr>
              <w:t xml:space="preserve">Внесение изменений в Извещение и (или) Документацию о закупке</w:t>
              <w:br/>
              <w:t xml:space="preserve">(подраздел </w:t>
            </w:r>
            <w:r>
              <w:rPr>
                <w:rFonts w:eastAsia="Calibri" w:cs="Arial"/>
                <w:bCs/>
                <w:sz w:val="24"/>
                <w:szCs w:val="24"/>
                <w:lang w:val="ru-RU" w:eastAsia="en-US" w:bidi="ar-SA"/>
              </w:rPr>
              <w:fldChar w:fldCharType="begin"/>
            </w:r>
            <w:r>
              <w:rPr>
                <w:rFonts w:eastAsia="Calibri" w:cs="Arial"/>
                <w:bCs/>
                <w:sz w:val="24"/>
                <w:szCs w:val="24"/>
                <w:lang w:val="ru-RU" w:eastAsia="en-US" w:bidi="ar-SA"/>
              </w:rPr>
              <w:instrText xml:space="preserve"> REF _Ref125362076 \r \h </w:instrText>
            </w:r>
            <w:r>
              <w:rPr>
                <w:rFonts w:eastAsia="Calibri" w:cs="Arial"/>
                <w:bCs/>
                <w:sz w:val="24"/>
                <w:szCs w:val="24"/>
                <w:lang w:val="ru-RU" w:eastAsia="en-US" w:bidi="ar-SA"/>
              </w:rPr>
              <w:fldChar w:fldCharType="separate"/>
            </w:r>
            <w:r>
              <w:rPr>
                <w:rFonts w:eastAsia="Calibri" w:cs="Arial"/>
                <w:bCs/>
                <w:sz w:val="24"/>
                <w:szCs w:val="24"/>
                <w:lang w:val="ru-RU" w:eastAsia="en-US" w:bidi="ar-SA"/>
              </w:rPr>
              <w:t xml:space="preserve">4.5</w:t>
            </w:r>
            <w:r>
              <w:rPr>
                <w:rFonts w:eastAsia="Calibri" w:cs="Arial"/>
                <w:bCs/>
                <w:sz w:val="24"/>
                <w:szCs w:val="24"/>
                <w:lang w:val="ru-RU" w:eastAsia="en-US" w:bidi="ar-SA"/>
              </w:rPr>
              <w:fldChar w:fldCharType="end"/>
            </w:r>
            <w:r>
              <w:rPr>
                <w:rFonts w:eastAsia="Calibri" w:cs="Arial"/>
                <w:bCs/>
                <w:sz w:val="24"/>
                <w:szCs w:val="24"/>
                <w:lang w:val="ru-RU" w:eastAsia="en-US" w:bidi="ar-SA"/>
              </w:rPr>
              <w:t xml:space="preserve">)</w:t>
              <w:br/>
            </w:r>
            <w:r>
              <w:rPr>
                <w:rFonts w:eastAsia="Calibri" w:cs="Arial"/>
                <w:bCs/>
                <w:i/>
                <w:iCs/>
                <w:sz w:val="24"/>
                <w:szCs w:val="24"/>
                <w:lang w:val="ru-RU" w:eastAsia="en-US" w:bidi="ar-SA"/>
              </w:rPr>
              <w:t xml:space="preserve">(опциональная процедура закупки)</w:t>
            </w:r>
            <w:r>
              <w:rPr>
                <w:bCs/>
                <w:sz w:val="24"/>
                <w:szCs w:val="24"/>
              </w:rPr>
            </w:r>
            <w:r>
              <w:rPr>
                <w:bCs/>
                <w:sz w:val="24"/>
                <w:szCs w:val="24"/>
              </w:rPr>
            </w:r>
          </w:p>
        </w:tc>
        <w:tc>
          <w:tcPr>
            <w:tcBorders>
              <w:right w:val="none" w:color="000000" w:sz="4" w:space="0"/>
            </w:tcBorders>
            <w:tcW w:w="2230" w:type="dxa"/>
            <w:vMerge w:val="restart"/>
            <w:textDirection w:val="lrTb"/>
            <w:noWrap w:val="false"/>
          </w:tcPr>
          <w:p>
            <w:pPr>
              <w:pStyle w:val="1342"/>
              <w:jc w:val="center"/>
              <w:spacing w:before="40" w:after="40" w:line="240" w:lineRule="auto"/>
              <w:widowControl w:val="off"/>
              <w:rPr>
                <w:bCs/>
                <w:sz w:val="24"/>
                <w:szCs w:val="24"/>
              </w:rPr>
            </w:pPr>
            <w:r>
              <w:rPr>
                <w:rFonts w:eastAsia="Calibri" w:cs="Arial"/>
                <w:bCs/>
                <w:sz w:val="24"/>
                <w:szCs w:val="24"/>
                <w:lang w:val="ru-RU" w:eastAsia="en-US" w:bidi="ar-SA"/>
              </w:rPr>
              <w:t xml:space="preserve">Отказ от проведения закупки (отмена закупки)</w:t>
              <w:br/>
              <w:t xml:space="preserve">(подраздел </w:t>
            </w:r>
            <w:r>
              <w:rPr>
                <w:rFonts w:eastAsia="Calibri" w:cs="Arial"/>
                <w:bCs/>
                <w:sz w:val="24"/>
                <w:szCs w:val="24"/>
                <w:lang w:val="ru-RU" w:eastAsia="en-US" w:bidi="ar-SA"/>
              </w:rPr>
              <w:fldChar w:fldCharType="begin"/>
            </w:r>
            <w:r>
              <w:rPr>
                <w:rFonts w:eastAsia="Calibri" w:cs="Arial"/>
                <w:bCs/>
                <w:sz w:val="24"/>
                <w:szCs w:val="24"/>
                <w:lang w:val="ru-RU" w:eastAsia="en-US" w:bidi="ar-SA"/>
              </w:rPr>
              <w:instrText xml:space="preserve"> REF _Ref126141962 \r \h </w:instrText>
            </w:r>
            <w:r>
              <w:rPr>
                <w:rFonts w:eastAsia="Calibri" w:cs="Arial"/>
                <w:bCs/>
                <w:sz w:val="24"/>
                <w:szCs w:val="24"/>
                <w:lang w:val="ru-RU" w:eastAsia="en-US" w:bidi="ar-SA"/>
              </w:rPr>
              <w:fldChar w:fldCharType="separate"/>
            </w:r>
            <w:r>
              <w:rPr>
                <w:rFonts w:eastAsia="Calibri" w:cs="Arial"/>
                <w:bCs/>
                <w:sz w:val="24"/>
                <w:szCs w:val="24"/>
                <w:lang w:val="ru-RU" w:eastAsia="en-US" w:bidi="ar-SA"/>
              </w:rPr>
              <w:t xml:space="preserve">4.16</w:t>
            </w:r>
            <w:r>
              <w:rPr>
                <w:rFonts w:eastAsia="Calibri" w:cs="Arial"/>
                <w:bCs/>
                <w:sz w:val="24"/>
                <w:szCs w:val="24"/>
                <w:lang w:val="ru-RU" w:eastAsia="en-US" w:bidi="ar-SA"/>
              </w:rPr>
              <w:fldChar w:fldCharType="end"/>
            </w:r>
            <w:r>
              <w:rPr>
                <w:rFonts w:eastAsia="Calibri" w:cs="Arial"/>
                <w:bCs/>
                <w:sz w:val="24"/>
                <w:szCs w:val="24"/>
                <w:lang w:val="ru-RU" w:eastAsia="en-US" w:bidi="ar-SA"/>
              </w:rPr>
              <w:t xml:space="preserve">)</w:t>
              <w:br/>
            </w:r>
            <w:r>
              <w:rPr>
                <w:rFonts w:eastAsia="Calibri" w:cs="Arial"/>
                <w:bCs/>
                <w:i/>
                <w:iCs/>
                <w:sz w:val="24"/>
                <w:szCs w:val="24"/>
                <w:lang w:val="ru-RU" w:eastAsia="en-US" w:bidi="ar-SA"/>
              </w:rPr>
              <w:t xml:space="preserve">(опциональная процедура закупки)</w:t>
            </w:r>
            <w:r>
              <w:rPr>
                <w:bCs/>
                <w:sz w:val="24"/>
                <w:szCs w:val="24"/>
              </w:rPr>
            </w:r>
            <w:r>
              <w:rPr>
                <w:bCs/>
                <w:sz w:val="24"/>
                <w:szCs w:val="24"/>
              </w:rPr>
            </w:r>
          </w:p>
        </w:tc>
      </w:tr>
      <w:tr>
        <w:tblPrEx/>
        <w:trPr/>
        <w:tc>
          <w:tcPr>
            <w:tcBorders>
              <w:left w:val="none" w:color="000000" w:sz="4" w:space="0"/>
            </w:tcBorders>
            <w:tcW w:w="428" w:type="dxa"/>
            <w:vAlign w:val="bottom"/>
            <w:textDirection w:val="lrTb"/>
            <w:noWrap w:val="false"/>
          </w:tcPr>
          <w:p>
            <w:pPr>
              <w:pStyle w:val="1342"/>
              <w:jc w:val="center"/>
              <w:spacing w:before="40" w:after="40" w:line="240" w:lineRule="auto"/>
              <w:widowControl w:val="off"/>
              <w:rPr>
                <w:bCs/>
                <w:sz w:val="24"/>
                <w:szCs w:val="24"/>
              </w:rPr>
            </w:pPr>
            <w:r>
              <w:rPr>
                <w:rFonts w:ascii="Wingdings 3" w:hAnsi="Wingdings 3" w:eastAsia="Wingdings 3" w:cs="Wingdings 3"/>
                <w:bCs/>
                <w:sz w:val="24"/>
                <w:szCs w:val="24"/>
                <w:lang w:val="ru-RU" w:eastAsia="en-US" w:bidi="ar-SA"/>
              </w:rPr>
              <w:t xml:space="preserve">Ô</w:t>
            </w:r>
            <w:r>
              <w:rPr>
                <w:bCs/>
                <w:sz w:val="24"/>
                <w:szCs w:val="24"/>
              </w:rPr>
            </w:r>
            <w:r>
              <w:rPr>
                <w:bCs/>
                <w:sz w:val="24"/>
                <w:szCs w:val="24"/>
              </w:rPr>
            </w:r>
          </w:p>
        </w:tc>
        <w:tc>
          <w:tcPr>
            <w:gridSpan w:val="2"/>
            <w:tcW w:w="3330" w:type="dxa"/>
            <w:textDirection w:val="lrTb"/>
            <w:noWrap w:val="false"/>
          </w:tcPr>
          <w:p>
            <w:pPr>
              <w:pStyle w:val="1342"/>
              <w:jc w:val="center"/>
              <w:spacing w:before="40" w:after="40" w:line="240" w:lineRule="auto"/>
              <w:widowControl w:val="off"/>
              <w:rPr>
                <w:bCs/>
                <w:sz w:val="24"/>
                <w:szCs w:val="24"/>
              </w:rPr>
            </w:pPr>
            <w:r>
              <w:rPr>
                <w:rFonts w:eastAsia="Calibri" w:cs="Arial"/>
                <w:bCs/>
                <w:sz w:val="24"/>
                <w:szCs w:val="24"/>
                <w:lang w:val="ru-RU" w:eastAsia="en-US" w:bidi="ar-SA"/>
              </w:rPr>
              <w:t xml:space="preserve">Подача заявок и их прием</w:t>
              <w:br/>
              <w:t xml:space="preserve">(подраздел </w:t>
            </w:r>
            <w:r>
              <w:rPr>
                <w:rFonts w:eastAsia="Calibri" w:cs="Arial"/>
                <w:bCs/>
                <w:sz w:val="24"/>
                <w:szCs w:val="24"/>
                <w:lang w:val="ru-RU" w:eastAsia="en-US" w:bidi="ar-SA"/>
              </w:rPr>
              <w:fldChar w:fldCharType="begin"/>
            </w:r>
            <w:r>
              <w:rPr>
                <w:rFonts w:eastAsia="Calibri" w:cs="Arial"/>
                <w:bCs/>
                <w:sz w:val="24"/>
                <w:szCs w:val="24"/>
                <w:lang w:val="ru-RU" w:eastAsia="en-US" w:bidi="ar-SA"/>
              </w:rPr>
              <w:instrText xml:space="preserve"> REF _Ref125362119 \r \h </w:instrText>
            </w:r>
            <w:r>
              <w:rPr>
                <w:rFonts w:eastAsia="Calibri" w:cs="Arial"/>
                <w:bCs/>
                <w:sz w:val="24"/>
                <w:szCs w:val="24"/>
                <w:lang w:val="ru-RU" w:eastAsia="en-US" w:bidi="ar-SA"/>
              </w:rPr>
              <w:fldChar w:fldCharType="separate"/>
            </w:r>
            <w:r>
              <w:rPr>
                <w:rFonts w:eastAsia="Calibri" w:cs="Arial"/>
                <w:bCs/>
                <w:sz w:val="24"/>
                <w:szCs w:val="24"/>
                <w:lang w:val="ru-RU" w:eastAsia="en-US" w:bidi="ar-SA"/>
              </w:rPr>
              <w:t xml:space="preserve">4.6</w:t>
            </w:r>
            <w:r>
              <w:rPr>
                <w:rFonts w:eastAsia="Calibri" w:cs="Arial"/>
                <w:bCs/>
                <w:sz w:val="24"/>
                <w:szCs w:val="24"/>
                <w:lang w:val="ru-RU" w:eastAsia="en-US" w:bidi="ar-SA"/>
              </w:rPr>
              <w:fldChar w:fldCharType="end"/>
            </w:r>
            <w:r>
              <w:rPr>
                <w:rFonts w:eastAsia="Calibri" w:cs="Arial"/>
                <w:bCs/>
                <w:sz w:val="24"/>
                <w:szCs w:val="24"/>
                <w:lang w:val="ru-RU" w:eastAsia="en-US" w:bidi="ar-SA"/>
              </w:rPr>
              <w:t xml:space="preserve">)</w:t>
            </w:r>
            <w:r>
              <w:rPr>
                <w:bCs/>
                <w:sz w:val="24"/>
                <w:szCs w:val="24"/>
              </w:rPr>
            </w:r>
            <w:r>
              <w:rPr>
                <w:bCs/>
                <w:sz w:val="24"/>
                <w:szCs w:val="24"/>
              </w:rPr>
            </w:r>
          </w:p>
        </w:tc>
        <w:tc>
          <w:tcPr>
            <w:gridSpan w:val="2"/>
            <w:tcW w:w="3338" w:type="dxa"/>
            <w:textDirection w:val="lrTb"/>
            <w:noWrap w:val="false"/>
          </w:tcPr>
          <w:p>
            <w:pPr>
              <w:pStyle w:val="1342"/>
              <w:jc w:val="center"/>
              <w:spacing w:before="40" w:after="40" w:line="240" w:lineRule="auto"/>
              <w:widowControl w:val="off"/>
              <w:rPr>
                <w:bCs/>
                <w:sz w:val="24"/>
                <w:szCs w:val="24"/>
              </w:rPr>
            </w:pPr>
            <w:r>
              <w:rPr>
                <w:rFonts w:eastAsia="Calibri" w:cs="Arial"/>
                <w:bCs/>
                <w:sz w:val="24"/>
                <w:szCs w:val="24"/>
                <w:lang w:val="ru-RU" w:eastAsia="en-US" w:bidi="ar-SA"/>
              </w:rPr>
              <w:t xml:space="preserve">Изменение и отзыв заявок</w:t>
              <w:br/>
              <w:t xml:space="preserve">(подраздел </w:t>
            </w:r>
            <w:r>
              <w:rPr>
                <w:rFonts w:eastAsia="Calibri" w:cs="Arial"/>
                <w:bCs/>
                <w:sz w:val="24"/>
                <w:szCs w:val="24"/>
                <w:lang w:val="ru-RU" w:eastAsia="en-US" w:bidi="ar-SA"/>
              </w:rPr>
              <w:fldChar w:fldCharType="begin"/>
            </w:r>
            <w:r>
              <w:rPr>
                <w:rFonts w:eastAsia="Calibri" w:cs="Arial"/>
                <w:bCs/>
                <w:sz w:val="24"/>
                <w:szCs w:val="24"/>
                <w:lang w:val="ru-RU" w:eastAsia="en-US" w:bidi="ar-SA"/>
              </w:rPr>
              <w:instrText xml:space="preserve"> REF _Ref125362130 \r \h </w:instrText>
            </w:r>
            <w:r>
              <w:rPr>
                <w:rFonts w:eastAsia="Calibri" w:cs="Arial"/>
                <w:bCs/>
                <w:sz w:val="24"/>
                <w:szCs w:val="24"/>
                <w:lang w:val="ru-RU" w:eastAsia="en-US" w:bidi="ar-SA"/>
              </w:rPr>
              <w:fldChar w:fldCharType="separate"/>
            </w:r>
            <w:r>
              <w:rPr>
                <w:rFonts w:eastAsia="Calibri" w:cs="Arial"/>
                <w:bCs/>
                <w:sz w:val="24"/>
                <w:szCs w:val="24"/>
                <w:lang w:val="ru-RU" w:eastAsia="en-US" w:bidi="ar-SA"/>
              </w:rPr>
              <w:t xml:space="preserve">4.7</w:t>
            </w:r>
            <w:r>
              <w:rPr>
                <w:rFonts w:eastAsia="Calibri" w:cs="Arial"/>
                <w:bCs/>
                <w:sz w:val="24"/>
                <w:szCs w:val="24"/>
                <w:lang w:val="ru-RU" w:eastAsia="en-US" w:bidi="ar-SA"/>
              </w:rPr>
              <w:fldChar w:fldCharType="end"/>
            </w:r>
            <w:r>
              <w:rPr>
                <w:rFonts w:eastAsia="Calibri" w:cs="Arial"/>
                <w:bCs/>
                <w:sz w:val="24"/>
                <w:szCs w:val="24"/>
                <w:lang w:val="ru-RU" w:eastAsia="en-US" w:bidi="ar-SA"/>
              </w:rPr>
              <w:t xml:space="preserve">)</w:t>
              <w:br/>
            </w:r>
            <w:r>
              <w:rPr>
                <w:rFonts w:eastAsia="Calibri" w:cs="Arial"/>
                <w:bCs/>
                <w:i/>
                <w:iCs/>
                <w:sz w:val="24"/>
                <w:szCs w:val="24"/>
                <w:lang w:val="ru-RU" w:eastAsia="en-US" w:bidi="ar-SA"/>
              </w:rPr>
              <w:t xml:space="preserve">(опциональная процедура закупки)</w:t>
            </w:r>
            <w:r>
              <w:rPr>
                <w:bCs/>
                <w:sz w:val="24"/>
                <w:szCs w:val="24"/>
              </w:rPr>
            </w:r>
            <w:r>
              <w:rPr>
                <w:bCs/>
                <w:sz w:val="24"/>
                <w:szCs w:val="24"/>
              </w:rPr>
            </w:r>
          </w:p>
        </w:tc>
        <w:tc>
          <w:tcPr>
            <w:tcW w:w="2409" w:type="dxa"/>
            <w:vMerge w:val="continue"/>
            <w:textDirection w:val="lrTb"/>
            <w:noWrap w:val="false"/>
          </w:tcPr>
          <w:p>
            <w:pPr>
              <w:pStyle w:val="1342"/>
              <w:jc w:val="center"/>
              <w:spacing w:before="40" w:after="40" w:line="240" w:lineRule="auto"/>
              <w:widowControl w:val="off"/>
              <w:rPr>
                <w:bCs/>
                <w:sz w:val="24"/>
                <w:szCs w:val="24"/>
              </w:rPr>
            </w:pPr>
            <w:r>
              <w:rPr>
                <w:bCs/>
                <w:sz w:val="24"/>
                <w:szCs w:val="24"/>
              </w:rPr>
            </w:r>
            <w:r>
              <w:rPr>
                <w:bCs/>
                <w:sz w:val="24"/>
                <w:szCs w:val="24"/>
              </w:rPr>
            </w:r>
            <w:r>
              <w:rPr>
                <w:bCs/>
                <w:sz w:val="24"/>
                <w:szCs w:val="24"/>
              </w:rPr>
            </w:r>
          </w:p>
        </w:tc>
        <w:tc>
          <w:tcPr>
            <w:tcW w:w="2267" w:type="dxa"/>
            <w:vMerge w:val="continue"/>
            <w:textDirection w:val="lrTb"/>
            <w:noWrap w:val="false"/>
          </w:tcPr>
          <w:p>
            <w:pPr>
              <w:pStyle w:val="1342"/>
              <w:jc w:val="center"/>
              <w:spacing w:before="40" w:after="40" w:line="240" w:lineRule="auto"/>
              <w:widowControl w:val="off"/>
              <w:rPr>
                <w:bCs/>
                <w:sz w:val="24"/>
                <w:szCs w:val="24"/>
              </w:rPr>
            </w:pPr>
            <w:r>
              <w:rPr>
                <w:bCs/>
                <w:sz w:val="24"/>
                <w:szCs w:val="24"/>
              </w:rPr>
            </w:r>
            <w:r>
              <w:rPr>
                <w:bCs/>
                <w:sz w:val="24"/>
                <w:szCs w:val="24"/>
              </w:rPr>
            </w:r>
            <w:r>
              <w:rPr>
                <w:bCs/>
                <w:sz w:val="24"/>
                <w:szCs w:val="24"/>
              </w:rPr>
            </w:r>
          </w:p>
        </w:tc>
        <w:tc>
          <w:tcPr>
            <w:tcBorders>
              <w:right w:val="none" w:color="000000" w:sz="4" w:space="0"/>
            </w:tcBorders>
            <w:tcW w:w="2230" w:type="dxa"/>
            <w:vAlign w:val="bottom"/>
            <w:vMerge w:val="continue"/>
            <w:textDirection w:val="lrTb"/>
            <w:noWrap w:val="false"/>
          </w:tcPr>
          <w:p>
            <w:pPr>
              <w:pStyle w:val="1342"/>
              <w:jc w:val="center"/>
              <w:spacing w:before="40" w:after="40" w:line="240" w:lineRule="auto"/>
              <w:widowControl w:val="off"/>
              <w:rPr>
                <w:bCs/>
                <w:sz w:val="24"/>
                <w:szCs w:val="24"/>
              </w:rPr>
            </w:pPr>
            <w:r>
              <w:rPr>
                <w:bCs/>
                <w:sz w:val="24"/>
                <w:szCs w:val="24"/>
              </w:rPr>
            </w:r>
            <w:r>
              <w:rPr>
                <w:bCs/>
                <w:sz w:val="24"/>
                <w:szCs w:val="24"/>
              </w:rPr>
            </w:r>
            <w:r>
              <w:rPr>
                <w:bCs/>
                <w:sz w:val="24"/>
                <w:szCs w:val="24"/>
              </w:rPr>
            </w:r>
          </w:p>
        </w:tc>
      </w:tr>
      <w:tr>
        <w:tblPrEx/>
        <w:trPr/>
        <w:tc>
          <w:tcPr>
            <w:tcBorders>
              <w:left w:val="none" w:color="000000" w:sz="4" w:space="0"/>
            </w:tcBorders>
            <w:tcW w:w="428" w:type="dxa"/>
            <w:vAlign w:val="bottom"/>
            <w:textDirection w:val="lrTb"/>
            <w:noWrap w:val="false"/>
          </w:tcPr>
          <w:p>
            <w:pPr>
              <w:pStyle w:val="1342"/>
              <w:jc w:val="center"/>
              <w:spacing w:before="40" w:after="40" w:line="240" w:lineRule="auto"/>
              <w:widowControl w:val="off"/>
              <w:rPr>
                <w:bCs/>
                <w:sz w:val="24"/>
                <w:szCs w:val="24"/>
              </w:rPr>
            </w:pPr>
            <w:r>
              <w:rPr>
                <w:rFonts w:ascii="Wingdings 3" w:hAnsi="Wingdings 3" w:eastAsia="Wingdings 3" w:cs="Wingdings 3"/>
                <w:bCs/>
                <w:sz w:val="24"/>
                <w:szCs w:val="24"/>
                <w:lang w:val="ru-RU" w:eastAsia="en-US" w:bidi="ar-SA"/>
              </w:rPr>
              <w:t xml:space="preserve">Ô</w:t>
            </w:r>
            <w:r>
              <w:rPr>
                <w:bCs/>
                <w:sz w:val="24"/>
                <w:szCs w:val="24"/>
              </w:rPr>
            </w:r>
            <w:r>
              <w:rPr>
                <w:bCs/>
                <w:sz w:val="24"/>
                <w:szCs w:val="24"/>
              </w:rPr>
            </w:r>
          </w:p>
        </w:tc>
        <w:tc>
          <w:tcPr>
            <w:gridSpan w:val="6"/>
            <w:tcW w:w="11344" w:type="dxa"/>
            <w:textDirection w:val="lrTb"/>
            <w:noWrap w:val="false"/>
          </w:tcPr>
          <w:p>
            <w:pPr>
              <w:pStyle w:val="1342"/>
              <w:jc w:val="center"/>
              <w:spacing w:before="40" w:after="40" w:line="240" w:lineRule="auto"/>
              <w:widowControl w:val="off"/>
              <w:rPr>
                <w:bCs/>
                <w:sz w:val="24"/>
                <w:szCs w:val="24"/>
              </w:rPr>
            </w:pPr>
            <w:r>
              <w:rPr>
                <w:rFonts w:eastAsia="Calibri" w:cs="Arial"/>
                <w:bCs/>
                <w:sz w:val="24"/>
                <w:szCs w:val="24"/>
                <w:lang w:val="ru-RU" w:eastAsia="en-US" w:bidi="ar-SA"/>
              </w:rPr>
              <w:t xml:space="preserve">Открытие доступа к заявкам (подраздел </w:t>
            </w:r>
            <w:r>
              <w:rPr>
                <w:rFonts w:eastAsia="Calibri" w:cs="Arial"/>
                <w:bCs/>
                <w:sz w:val="24"/>
                <w:szCs w:val="24"/>
                <w:lang w:val="ru-RU" w:eastAsia="en-US" w:bidi="ar-SA"/>
              </w:rPr>
              <w:fldChar w:fldCharType="begin"/>
            </w:r>
            <w:r>
              <w:rPr>
                <w:rFonts w:eastAsia="Calibri" w:cs="Arial"/>
                <w:bCs/>
                <w:sz w:val="24"/>
                <w:szCs w:val="24"/>
                <w:lang w:val="ru-RU" w:eastAsia="en-US" w:bidi="ar-SA"/>
              </w:rPr>
              <w:instrText xml:space="preserve"> REF _Ref130221619 \r \h </w:instrText>
            </w:r>
            <w:r>
              <w:rPr>
                <w:rFonts w:eastAsia="Calibri" w:cs="Arial"/>
                <w:bCs/>
                <w:sz w:val="24"/>
                <w:szCs w:val="24"/>
                <w:lang w:val="ru-RU" w:eastAsia="en-US" w:bidi="ar-SA"/>
              </w:rPr>
              <w:fldChar w:fldCharType="separate"/>
            </w:r>
            <w:r>
              <w:rPr>
                <w:rFonts w:eastAsia="Calibri" w:cs="Arial"/>
                <w:bCs/>
                <w:sz w:val="24"/>
                <w:szCs w:val="24"/>
                <w:lang w:val="ru-RU" w:eastAsia="en-US" w:bidi="ar-SA"/>
              </w:rPr>
              <w:t xml:space="preserve">4.8</w:t>
            </w:r>
            <w:r>
              <w:rPr>
                <w:rFonts w:eastAsia="Calibri" w:cs="Arial"/>
                <w:bCs/>
                <w:sz w:val="24"/>
                <w:szCs w:val="24"/>
                <w:lang w:val="ru-RU" w:eastAsia="en-US" w:bidi="ar-SA"/>
              </w:rPr>
              <w:fldChar w:fldCharType="end"/>
            </w:r>
            <w:r>
              <w:rPr>
                <w:rFonts w:eastAsia="Calibri" w:cs="Arial"/>
                <w:bCs/>
                <w:sz w:val="24"/>
                <w:szCs w:val="24"/>
                <w:lang w:val="ru-RU" w:eastAsia="en-US" w:bidi="ar-SA"/>
              </w:rPr>
              <w:t xml:space="preserve">)</w:t>
            </w:r>
            <w:r>
              <w:rPr>
                <w:bCs/>
                <w:sz w:val="24"/>
                <w:szCs w:val="24"/>
              </w:rPr>
            </w:r>
            <w:r>
              <w:rPr>
                <w:bCs/>
                <w:sz w:val="24"/>
                <w:szCs w:val="24"/>
              </w:rPr>
            </w:r>
          </w:p>
        </w:tc>
        <w:tc>
          <w:tcPr>
            <w:tcBorders>
              <w:right w:val="none" w:color="000000" w:sz="4" w:space="0"/>
            </w:tcBorders>
            <w:tcW w:w="2230" w:type="dxa"/>
            <w:vAlign w:val="center"/>
            <w:vMerge w:val="restart"/>
            <w:textDirection w:val="lrTb"/>
            <w:noWrap w:val="false"/>
          </w:tcPr>
          <w:p>
            <w:pPr>
              <w:pStyle w:val="1342"/>
              <w:jc w:val="center"/>
              <w:spacing w:before="40" w:after="40" w:line="240" w:lineRule="auto"/>
              <w:widowControl w:val="off"/>
              <w:rPr>
                <w:bCs/>
                <w:sz w:val="24"/>
                <w:szCs w:val="24"/>
              </w:rPr>
            </w:pPr>
            <w:r>
              <w:rPr>
                <w:rFonts w:eastAsia="Calibri" w:cs="Arial"/>
                <w:bCs/>
                <w:sz w:val="24"/>
                <w:szCs w:val="24"/>
                <w:lang w:val="ru-RU" w:eastAsia="en-US" w:bidi="ar-SA"/>
              </w:rPr>
              <w:t xml:space="preserve">Отказ от проведения закупки (отмена закупки) по обстоятельствам непреодолимой силы в соответствии с гражданским законодательством</w:t>
              <w:br/>
              <w:t xml:space="preserve">(подраздел </w:t>
            </w:r>
            <w:r>
              <w:rPr>
                <w:rFonts w:eastAsia="Calibri" w:cs="Arial"/>
                <w:bCs/>
                <w:sz w:val="24"/>
                <w:szCs w:val="24"/>
                <w:lang w:val="ru-RU" w:eastAsia="en-US" w:bidi="ar-SA"/>
              </w:rPr>
              <w:fldChar w:fldCharType="begin"/>
            </w:r>
            <w:r>
              <w:rPr>
                <w:rFonts w:eastAsia="Calibri" w:cs="Arial"/>
                <w:bCs/>
                <w:sz w:val="24"/>
                <w:szCs w:val="24"/>
                <w:lang w:val="ru-RU" w:eastAsia="en-US" w:bidi="ar-SA"/>
              </w:rPr>
              <w:instrText xml:space="preserve"> REF _Ref126141962 \r \h </w:instrText>
            </w:r>
            <w:r>
              <w:rPr>
                <w:rFonts w:eastAsia="Calibri" w:cs="Arial"/>
                <w:bCs/>
                <w:sz w:val="24"/>
                <w:szCs w:val="24"/>
                <w:lang w:val="ru-RU" w:eastAsia="en-US" w:bidi="ar-SA"/>
              </w:rPr>
              <w:fldChar w:fldCharType="separate"/>
            </w:r>
            <w:r>
              <w:rPr>
                <w:rFonts w:eastAsia="Calibri" w:cs="Arial"/>
                <w:bCs/>
                <w:sz w:val="24"/>
                <w:szCs w:val="24"/>
                <w:lang w:val="ru-RU" w:eastAsia="en-US" w:bidi="ar-SA"/>
              </w:rPr>
              <w:t xml:space="preserve">4.16</w:t>
            </w:r>
            <w:r>
              <w:rPr>
                <w:rFonts w:eastAsia="Calibri" w:cs="Arial"/>
                <w:bCs/>
                <w:sz w:val="24"/>
                <w:szCs w:val="24"/>
                <w:lang w:val="ru-RU" w:eastAsia="en-US" w:bidi="ar-SA"/>
              </w:rPr>
              <w:fldChar w:fldCharType="end"/>
            </w:r>
            <w:r>
              <w:rPr>
                <w:rFonts w:eastAsia="Calibri" w:cs="Arial"/>
                <w:bCs/>
                <w:sz w:val="24"/>
                <w:szCs w:val="24"/>
                <w:lang w:val="ru-RU" w:eastAsia="en-US" w:bidi="ar-SA"/>
              </w:rPr>
              <w:t xml:space="preserve">)</w:t>
              <w:br/>
            </w:r>
            <w:r>
              <w:rPr>
                <w:rFonts w:eastAsia="Calibri" w:cs="Arial"/>
                <w:bCs/>
                <w:i/>
                <w:iCs/>
                <w:sz w:val="24"/>
                <w:szCs w:val="24"/>
                <w:lang w:val="ru-RU" w:eastAsia="en-US" w:bidi="ar-SA"/>
              </w:rPr>
              <w:t xml:space="preserve">(опциональная процедура закупки)</w:t>
            </w:r>
            <w:r>
              <w:rPr>
                <w:bCs/>
                <w:sz w:val="24"/>
                <w:szCs w:val="24"/>
              </w:rPr>
            </w:r>
            <w:r>
              <w:rPr>
                <w:bCs/>
                <w:sz w:val="24"/>
                <w:szCs w:val="24"/>
              </w:rPr>
            </w:r>
          </w:p>
        </w:tc>
      </w:tr>
      <w:tr>
        <w:tblPrEx/>
        <w:trPr>
          <w:trHeight w:val="276"/>
        </w:trPr>
        <w:tc>
          <w:tcPr>
            <w:tcBorders>
              <w:left w:val="none" w:color="000000" w:sz="4" w:space="0"/>
            </w:tcBorders>
            <w:tcW w:w="428" w:type="dxa"/>
            <w:vAlign w:val="bottom"/>
            <w:textDirection w:val="lrTb"/>
            <w:noWrap w:val="false"/>
          </w:tcPr>
          <w:p>
            <w:pPr>
              <w:pStyle w:val="1342"/>
              <w:jc w:val="center"/>
              <w:spacing w:before="40" w:after="40" w:line="240" w:lineRule="auto"/>
              <w:widowControl w:val="off"/>
              <w:rPr>
                <w:bCs/>
                <w:sz w:val="24"/>
                <w:szCs w:val="24"/>
              </w:rPr>
            </w:pPr>
            <w:r>
              <w:rPr>
                <w:rFonts w:ascii="Wingdings 3" w:hAnsi="Wingdings 3" w:eastAsia="Wingdings 3" w:cs="Wingdings 3"/>
                <w:bCs/>
                <w:sz w:val="24"/>
                <w:szCs w:val="24"/>
                <w:lang w:val="ru-RU" w:eastAsia="en-US" w:bidi="ar-SA"/>
              </w:rPr>
              <w:t xml:space="preserve">Ô</w:t>
            </w:r>
            <w:r>
              <w:rPr>
                <w:bCs/>
                <w:sz w:val="24"/>
                <w:szCs w:val="24"/>
              </w:rPr>
            </w:r>
            <w:r>
              <w:rPr>
                <w:bCs/>
                <w:sz w:val="24"/>
                <w:szCs w:val="24"/>
              </w:rPr>
            </w:r>
          </w:p>
        </w:tc>
        <w:tc>
          <w:tcPr>
            <w:gridSpan w:val="2"/>
            <w:tcW w:w="3330" w:type="dxa"/>
            <w:textDirection w:val="lrTb"/>
            <w:noWrap w:val="false"/>
          </w:tcPr>
          <w:p>
            <w:pPr>
              <w:pStyle w:val="1342"/>
              <w:jc w:val="center"/>
              <w:spacing w:before="40" w:after="40" w:line="240" w:lineRule="auto"/>
              <w:widowControl w:val="off"/>
              <w:rPr>
                <w:bCs/>
                <w:sz w:val="24"/>
                <w:szCs w:val="24"/>
              </w:rPr>
            </w:pPr>
            <w:r>
              <w:rPr>
                <w:rFonts w:eastAsia="Calibri" w:cs="Arial"/>
                <w:bCs/>
                <w:sz w:val="24"/>
                <w:szCs w:val="24"/>
                <w:lang w:val="ru-RU" w:eastAsia="en-US" w:bidi="ar-SA"/>
              </w:rPr>
              <w:t xml:space="preserve">Рассмотрение заявок (отборочная стадия), в том числе (при необходимости) проведение аккредитации (подраздел </w:t>
            </w:r>
            <w:r>
              <w:rPr>
                <w:rFonts w:eastAsia="Calibri" w:cs="Arial"/>
                <w:bCs/>
                <w:sz w:val="24"/>
                <w:szCs w:val="24"/>
                <w:lang w:val="ru-RU" w:eastAsia="en-US" w:bidi="ar-SA"/>
              </w:rPr>
              <w:fldChar w:fldCharType="begin"/>
            </w:r>
            <w:r>
              <w:rPr>
                <w:rFonts w:eastAsia="Calibri" w:cs="Arial"/>
                <w:bCs/>
                <w:sz w:val="24"/>
                <w:szCs w:val="24"/>
                <w:lang w:val="ru-RU" w:eastAsia="en-US" w:bidi="ar-SA"/>
              </w:rPr>
              <w:instrText xml:space="preserve"> REF _Ref125362364 \r \h </w:instrText>
            </w:r>
            <w:r>
              <w:rPr>
                <w:rFonts w:eastAsia="Calibri" w:cs="Arial"/>
                <w:bCs/>
                <w:sz w:val="24"/>
                <w:szCs w:val="24"/>
                <w:lang w:val="ru-RU" w:eastAsia="en-US" w:bidi="ar-SA"/>
              </w:rPr>
              <w:fldChar w:fldCharType="separate"/>
            </w:r>
            <w:r>
              <w:rPr>
                <w:rFonts w:eastAsia="Calibri" w:cs="Arial"/>
                <w:bCs/>
                <w:sz w:val="24"/>
                <w:szCs w:val="24"/>
                <w:lang w:val="ru-RU" w:eastAsia="en-US" w:bidi="ar-SA"/>
              </w:rPr>
              <w:t xml:space="preserve">4.9</w:t>
            </w:r>
            <w:r>
              <w:rPr>
                <w:rFonts w:eastAsia="Calibri" w:cs="Arial"/>
                <w:bCs/>
                <w:sz w:val="24"/>
                <w:szCs w:val="24"/>
                <w:lang w:val="ru-RU" w:eastAsia="en-US" w:bidi="ar-SA"/>
              </w:rPr>
              <w:fldChar w:fldCharType="end"/>
            </w:r>
            <w:r>
              <w:rPr>
                <w:rFonts w:eastAsia="Calibri" w:cs="Arial"/>
                <w:bCs/>
                <w:sz w:val="24"/>
                <w:szCs w:val="24"/>
                <w:lang w:val="ru-RU" w:eastAsia="en-US" w:bidi="ar-SA"/>
              </w:rPr>
              <w:t xml:space="preserve">)</w:t>
            </w:r>
            <w:r>
              <w:rPr>
                <w:bCs/>
                <w:sz w:val="24"/>
                <w:szCs w:val="24"/>
              </w:rPr>
            </w:r>
            <w:r>
              <w:rPr>
                <w:bCs/>
                <w:sz w:val="24"/>
                <w:szCs w:val="24"/>
              </w:rPr>
            </w:r>
          </w:p>
        </w:tc>
        <w:tc>
          <w:tcPr>
            <w:gridSpan w:val="2"/>
            <w:tcW w:w="3338" w:type="dxa"/>
            <w:textDirection w:val="lrTb"/>
            <w:noWrap w:val="false"/>
          </w:tcPr>
          <w:p>
            <w:pPr>
              <w:pStyle w:val="1342"/>
              <w:jc w:val="center"/>
              <w:spacing w:before="40" w:after="40" w:line="240" w:lineRule="auto"/>
              <w:widowControl w:val="off"/>
              <w:rPr>
                <w:bCs/>
                <w:sz w:val="24"/>
                <w:szCs w:val="24"/>
              </w:rPr>
            </w:pPr>
            <w:r>
              <w:rPr>
                <w:rFonts w:eastAsia="Calibri" w:cs="Arial"/>
                <w:bCs/>
                <w:sz w:val="24"/>
                <w:szCs w:val="24"/>
                <w:lang w:val="ru-RU" w:eastAsia="en-US" w:bidi="ar-SA"/>
              </w:rPr>
              <w:t xml:space="preserve">Применение законодательства о национальном режиме</w:t>
              <w:br/>
              <w:t xml:space="preserve">(предоставление национального режима / запрета, ограничения)</w:t>
              <w:br/>
              <w:t xml:space="preserve">(подраздел </w:t>
            </w:r>
            <w:r>
              <w:rPr>
                <w:rFonts w:eastAsia="Calibri" w:cs="Arial"/>
                <w:bCs/>
                <w:sz w:val="24"/>
                <w:szCs w:val="24"/>
                <w:lang w:val="ru-RU" w:eastAsia="en-US" w:bidi="ar-SA"/>
              </w:rPr>
              <w:fldChar w:fldCharType="begin"/>
            </w:r>
            <w:r>
              <w:rPr>
                <w:rFonts w:eastAsia="Calibri" w:cs="Arial"/>
                <w:bCs/>
                <w:sz w:val="24"/>
                <w:szCs w:val="24"/>
                <w:lang w:val="ru-RU" w:eastAsia="en-US" w:bidi="ar-SA"/>
              </w:rPr>
              <w:instrText xml:space="preserve"> REF _Ref130985951 \r \h </w:instrText>
            </w:r>
            <w:r>
              <w:rPr>
                <w:rFonts w:eastAsia="Calibri" w:cs="Arial"/>
                <w:bCs/>
                <w:sz w:val="24"/>
                <w:szCs w:val="24"/>
                <w:lang w:val="ru-RU" w:eastAsia="en-US" w:bidi="ar-SA"/>
              </w:rPr>
              <w:fldChar w:fldCharType="separate"/>
            </w:r>
            <w:r>
              <w:rPr>
                <w:rFonts w:eastAsia="Calibri" w:cs="Arial"/>
                <w:bCs/>
                <w:sz w:val="24"/>
                <w:szCs w:val="24"/>
                <w:lang w:val="ru-RU" w:eastAsia="en-US" w:bidi="ar-SA"/>
              </w:rPr>
              <w:t xml:space="preserve">4.13</w:t>
            </w:r>
            <w:r>
              <w:rPr>
                <w:rFonts w:eastAsia="Calibri" w:cs="Arial"/>
                <w:bCs/>
                <w:sz w:val="24"/>
                <w:szCs w:val="24"/>
                <w:lang w:val="ru-RU" w:eastAsia="en-US" w:bidi="ar-SA"/>
              </w:rPr>
              <w:fldChar w:fldCharType="end"/>
            </w:r>
            <w:r>
              <w:rPr>
                <w:rFonts w:eastAsia="Calibri" w:cs="Arial"/>
                <w:bCs/>
                <w:sz w:val="24"/>
                <w:szCs w:val="24"/>
                <w:lang w:val="ru-RU" w:eastAsia="en-US" w:bidi="ar-SA"/>
              </w:rPr>
              <w:t xml:space="preserve">)</w:t>
            </w:r>
            <w:r>
              <w:rPr>
                <w:bCs/>
                <w:sz w:val="24"/>
                <w:szCs w:val="24"/>
              </w:rPr>
            </w:r>
            <w:r>
              <w:rPr>
                <w:bCs/>
                <w:sz w:val="24"/>
                <w:szCs w:val="24"/>
              </w:rPr>
            </w:r>
          </w:p>
        </w:tc>
        <w:tc>
          <w:tcPr>
            <w:tcW w:w="2409" w:type="dxa"/>
            <w:vAlign w:val="center"/>
            <w:vMerge w:val="restart"/>
            <w:textDirection w:val="lrTb"/>
            <w:noWrap w:val="false"/>
          </w:tcPr>
          <w:p>
            <w:pPr>
              <w:pStyle w:val="1342"/>
              <w:jc w:val="center"/>
              <w:spacing w:before="40" w:after="40" w:line="240" w:lineRule="auto"/>
              <w:widowControl w:val="off"/>
              <w:rPr>
                <w:bCs/>
                <w:sz w:val="24"/>
                <w:szCs w:val="24"/>
              </w:rPr>
            </w:pPr>
            <w:r>
              <w:rPr>
                <w:rFonts w:eastAsia="Calibri" w:cs="Arial"/>
                <w:bCs/>
                <w:sz w:val="24"/>
                <w:szCs w:val="24"/>
                <w:lang w:val="ru-RU" w:eastAsia="en-US" w:bidi="ar-SA"/>
              </w:rPr>
              <w:t xml:space="preserve">Направление дополнительных запросов разъяснений заявок</w:t>
              <w:br/>
              <w:t xml:space="preserve">(подраздел </w:t>
            </w:r>
            <w:r>
              <w:rPr>
                <w:rFonts w:eastAsia="Calibri" w:cs="Arial"/>
                <w:bCs/>
                <w:sz w:val="24"/>
                <w:szCs w:val="24"/>
                <w:lang w:val="ru-RU" w:eastAsia="en-US" w:bidi="ar-SA"/>
              </w:rPr>
              <w:fldChar w:fldCharType="begin"/>
            </w:r>
            <w:r>
              <w:rPr>
                <w:rFonts w:eastAsia="Calibri" w:cs="Arial"/>
                <w:bCs/>
                <w:sz w:val="24"/>
                <w:szCs w:val="24"/>
                <w:lang w:val="ru-RU" w:eastAsia="en-US" w:bidi="ar-SA"/>
              </w:rPr>
              <w:instrText xml:space="preserve"> REF _Ref125362381 \r \h </w:instrText>
            </w:r>
            <w:r>
              <w:rPr>
                <w:rFonts w:eastAsia="Calibri" w:cs="Arial"/>
                <w:bCs/>
                <w:sz w:val="24"/>
                <w:szCs w:val="24"/>
                <w:lang w:val="ru-RU" w:eastAsia="en-US" w:bidi="ar-SA"/>
              </w:rPr>
              <w:fldChar w:fldCharType="separate"/>
            </w:r>
            <w:r>
              <w:rPr>
                <w:rFonts w:eastAsia="Calibri" w:cs="Arial"/>
                <w:bCs/>
                <w:sz w:val="24"/>
                <w:szCs w:val="24"/>
                <w:lang w:val="ru-RU" w:eastAsia="en-US" w:bidi="ar-SA"/>
              </w:rPr>
              <w:t xml:space="preserve">4.10</w:t>
            </w:r>
            <w:r>
              <w:rPr>
                <w:rFonts w:eastAsia="Calibri" w:cs="Arial"/>
                <w:bCs/>
                <w:sz w:val="24"/>
                <w:szCs w:val="24"/>
                <w:lang w:val="ru-RU" w:eastAsia="en-US" w:bidi="ar-SA"/>
              </w:rPr>
              <w:fldChar w:fldCharType="end"/>
            </w:r>
            <w:r>
              <w:rPr>
                <w:rFonts w:eastAsia="Calibri" w:cs="Arial"/>
                <w:bCs/>
                <w:sz w:val="24"/>
                <w:szCs w:val="24"/>
                <w:lang w:val="ru-RU" w:eastAsia="en-US" w:bidi="ar-SA"/>
              </w:rPr>
              <w:t xml:space="preserve">)</w:t>
              <w:br/>
            </w:r>
            <w:r>
              <w:rPr>
                <w:rFonts w:eastAsia="Calibri" w:cs="Arial"/>
                <w:bCs/>
                <w:i/>
                <w:iCs/>
                <w:sz w:val="24"/>
                <w:szCs w:val="24"/>
                <w:lang w:val="ru-RU" w:eastAsia="en-US" w:bidi="ar-SA"/>
              </w:rPr>
              <w:t xml:space="preserve">(опциональная процедура закупки)</w:t>
            </w:r>
            <w:r>
              <w:rPr>
                <w:bCs/>
                <w:sz w:val="24"/>
                <w:szCs w:val="24"/>
              </w:rPr>
            </w:r>
            <w:r>
              <w:rPr>
                <w:bCs/>
                <w:sz w:val="24"/>
                <w:szCs w:val="24"/>
              </w:rPr>
            </w:r>
          </w:p>
        </w:tc>
        <w:tc>
          <w:tcPr>
            <w:tcW w:w="2267" w:type="dxa"/>
            <w:vAlign w:val="center"/>
            <w:vMerge w:val="restart"/>
            <w:textDirection w:val="lrTb"/>
            <w:noWrap w:val="false"/>
          </w:tcPr>
          <w:p>
            <w:pPr>
              <w:pStyle w:val="1342"/>
              <w:jc w:val="center"/>
              <w:spacing w:before="40" w:after="40" w:line="240" w:lineRule="auto"/>
              <w:widowControl w:val="off"/>
              <w:rPr>
                <w:bCs/>
                <w:sz w:val="24"/>
                <w:szCs w:val="24"/>
              </w:rPr>
            </w:pPr>
            <w:r>
              <w:rPr>
                <w:rFonts w:eastAsia="Calibri" w:cs="Arial"/>
                <w:bCs/>
                <w:sz w:val="24"/>
                <w:szCs w:val="24"/>
                <w:lang w:val="ru-RU" w:eastAsia="en-US" w:bidi="ar-SA"/>
              </w:rPr>
              <w:t xml:space="preserve">Признание закупки</w:t>
              <w:br/>
              <w:t xml:space="preserve">несостоявшейся</w:t>
              <w:br/>
              <w:t xml:space="preserve">(подраздел </w:t>
            </w:r>
            <w:r>
              <w:rPr>
                <w:rFonts w:eastAsia="Calibri" w:cs="Arial"/>
                <w:bCs/>
                <w:sz w:val="24"/>
                <w:szCs w:val="24"/>
                <w:lang w:val="ru-RU" w:eastAsia="en-US" w:bidi="ar-SA"/>
              </w:rPr>
              <w:fldChar w:fldCharType="begin"/>
            </w:r>
            <w:r>
              <w:rPr>
                <w:rFonts w:eastAsia="Calibri" w:cs="Arial"/>
                <w:bCs/>
                <w:sz w:val="24"/>
                <w:szCs w:val="24"/>
                <w:lang w:val="ru-RU" w:eastAsia="en-US" w:bidi="ar-SA"/>
              </w:rPr>
              <w:instrText xml:space="preserve"> REF _Ref125364149 \r \h </w:instrText>
            </w:r>
            <w:r>
              <w:rPr>
                <w:rFonts w:eastAsia="Calibri" w:cs="Arial"/>
                <w:bCs/>
                <w:sz w:val="24"/>
                <w:szCs w:val="24"/>
                <w:lang w:val="ru-RU" w:eastAsia="en-US" w:bidi="ar-SA"/>
              </w:rPr>
              <w:fldChar w:fldCharType="separate"/>
            </w:r>
            <w:r>
              <w:rPr>
                <w:rFonts w:eastAsia="Calibri" w:cs="Arial"/>
                <w:bCs/>
                <w:sz w:val="24"/>
                <w:szCs w:val="24"/>
                <w:lang w:val="ru-RU" w:eastAsia="en-US" w:bidi="ar-SA"/>
              </w:rPr>
              <w:t xml:space="preserve">4.15</w:t>
            </w:r>
            <w:r>
              <w:rPr>
                <w:rFonts w:eastAsia="Calibri" w:cs="Arial"/>
                <w:bCs/>
                <w:sz w:val="24"/>
                <w:szCs w:val="24"/>
                <w:lang w:val="ru-RU" w:eastAsia="en-US" w:bidi="ar-SA"/>
              </w:rPr>
              <w:fldChar w:fldCharType="end"/>
            </w:r>
            <w:r>
              <w:rPr>
                <w:rFonts w:eastAsia="Calibri" w:cs="Arial"/>
                <w:bCs/>
                <w:sz w:val="24"/>
                <w:szCs w:val="24"/>
                <w:lang w:val="ru-RU" w:eastAsia="en-US" w:bidi="ar-SA"/>
              </w:rPr>
              <w:t xml:space="preserve">)</w:t>
              <w:br/>
            </w:r>
            <w:r>
              <w:rPr>
                <w:rFonts w:eastAsia="Calibri" w:cs="Arial"/>
                <w:bCs/>
                <w:i/>
                <w:iCs/>
                <w:sz w:val="24"/>
                <w:szCs w:val="24"/>
                <w:lang w:val="ru-RU" w:eastAsia="en-US" w:bidi="ar-SA"/>
              </w:rPr>
              <w:t xml:space="preserve">(опциональная процедура закупки)</w:t>
            </w:r>
            <w:r>
              <w:rPr>
                <w:bCs/>
                <w:sz w:val="24"/>
                <w:szCs w:val="24"/>
              </w:rPr>
            </w:r>
            <w:r>
              <w:rPr>
                <w:bCs/>
                <w:sz w:val="24"/>
                <w:szCs w:val="24"/>
              </w:rPr>
            </w:r>
          </w:p>
        </w:tc>
        <w:tc>
          <w:tcPr>
            <w:tcBorders>
              <w:right w:val="none" w:color="000000" w:sz="4" w:space="0"/>
            </w:tcBorders>
            <w:tcW w:w="2230" w:type="dxa"/>
            <w:vMerge w:val="continue"/>
            <w:textDirection w:val="lrTb"/>
            <w:noWrap w:val="false"/>
          </w:tcPr>
          <w:p>
            <w:pPr>
              <w:pStyle w:val="1342"/>
              <w:jc w:val="center"/>
              <w:spacing w:before="40" w:after="40" w:line="240" w:lineRule="auto"/>
              <w:widowControl w:val="off"/>
              <w:rPr>
                <w:bCs/>
                <w:sz w:val="24"/>
                <w:szCs w:val="24"/>
              </w:rPr>
            </w:pPr>
            <w:r>
              <w:rPr>
                <w:bCs/>
                <w:sz w:val="24"/>
                <w:szCs w:val="24"/>
              </w:rPr>
            </w:r>
            <w:r>
              <w:rPr>
                <w:bCs/>
                <w:sz w:val="24"/>
                <w:szCs w:val="24"/>
              </w:rPr>
            </w:r>
            <w:r>
              <w:rPr>
                <w:bCs/>
                <w:sz w:val="24"/>
                <w:szCs w:val="24"/>
              </w:rPr>
            </w:r>
          </w:p>
        </w:tc>
      </w:tr>
      <w:tr>
        <w:tblPrEx/>
        <w:trPr/>
        <w:tc>
          <w:tcPr>
            <w:tcBorders>
              <w:left w:val="none" w:color="000000" w:sz="4" w:space="0"/>
            </w:tcBorders>
            <w:tcW w:w="428" w:type="dxa"/>
            <w:vAlign w:val="bottom"/>
            <w:textDirection w:val="lrTb"/>
            <w:noWrap w:val="false"/>
          </w:tcPr>
          <w:p>
            <w:pPr>
              <w:pStyle w:val="1342"/>
              <w:jc w:val="center"/>
              <w:spacing w:before="40" w:after="40" w:line="240" w:lineRule="auto"/>
              <w:widowControl w:val="off"/>
              <w:rPr>
                <w:bCs/>
                <w:sz w:val="24"/>
                <w:szCs w:val="24"/>
              </w:rPr>
            </w:pPr>
            <w:r>
              <w:rPr>
                <w:rFonts w:ascii="Wingdings 3" w:hAnsi="Wingdings 3" w:eastAsia="Wingdings 3" w:cs="Wingdings 3"/>
                <w:bCs/>
                <w:sz w:val="24"/>
                <w:szCs w:val="24"/>
                <w:lang w:val="ru-RU" w:eastAsia="en-US" w:bidi="ar-SA"/>
              </w:rPr>
              <w:t xml:space="preserve">Ô</w:t>
            </w:r>
            <w:r>
              <w:rPr>
                <w:bCs/>
                <w:sz w:val="24"/>
                <w:szCs w:val="24"/>
              </w:rPr>
            </w:r>
            <w:r>
              <w:rPr>
                <w:bCs/>
                <w:sz w:val="24"/>
                <w:szCs w:val="24"/>
              </w:rPr>
            </w:r>
          </w:p>
        </w:tc>
        <w:tc>
          <w:tcPr>
            <w:gridSpan w:val="4"/>
            <w:tcW w:w="6668" w:type="dxa"/>
            <w:textDirection w:val="lrTb"/>
            <w:noWrap w:val="false"/>
          </w:tcPr>
          <w:p>
            <w:pPr>
              <w:pStyle w:val="1342"/>
              <w:jc w:val="center"/>
              <w:spacing w:before="40" w:after="40" w:line="240" w:lineRule="auto"/>
              <w:widowControl w:val="off"/>
              <w:rPr>
                <w:bCs/>
                <w:sz w:val="24"/>
                <w:szCs w:val="24"/>
              </w:rPr>
            </w:pPr>
            <w:r>
              <w:rPr>
                <w:rFonts w:eastAsia="Calibri" w:cs="Arial"/>
                <w:bCs/>
                <w:sz w:val="24"/>
                <w:szCs w:val="24"/>
                <w:lang w:val="ru-RU" w:eastAsia="en-US" w:bidi="ar-SA"/>
              </w:rPr>
              <w:t xml:space="preserve">Переторжка (подраздел </w:t>
            </w:r>
            <w:r>
              <w:rPr>
                <w:rFonts w:eastAsia="Calibri" w:cs="Arial"/>
                <w:bCs/>
                <w:sz w:val="24"/>
                <w:szCs w:val="24"/>
                <w:lang w:val="ru-RU" w:eastAsia="en-US" w:bidi="ar-SA"/>
              </w:rPr>
              <w:fldChar w:fldCharType="begin"/>
            </w:r>
            <w:r>
              <w:rPr>
                <w:rFonts w:eastAsia="Calibri" w:cs="Arial"/>
                <w:bCs/>
                <w:sz w:val="24"/>
                <w:szCs w:val="24"/>
                <w:lang w:val="ru-RU" w:eastAsia="en-US" w:bidi="ar-SA"/>
              </w:rPr>
              <w:instrText xml:space="preserve"> REF _Ref127536359 \r \h </w:instrText>
            </w:r>
            <w:r>
              <w:rPr>
                <w:rFonts w:eastAsia="Calibri" w:cs="Arial"/>
                <w:bCs/>
                <w:sz w:val="24"/>
                <w:szCs w:val="24"/>
                <w:lang w:val="ru-RU" w:eastAsia="en-US" w:bidi="ar-SA"/>
              </w:rPr>
              <w:fldChar w:fldCharType="separate"/>
            </w:r>
            <w:r>
              <w:rPr>
                <w:rFonts w:eastAsia="Calibri" w:cs="Arial"/>
                <w:bCs/>
                <w:sz w:val="24"/>
                <w:szCs w:val="24"/>
                <w:lang w:val="ru-RU" w:eastAsia="en-US" w:bidi="ar-SA"/>
              </w:rPr>
              <w:t xml:space="preserve">4.11</w:t>
            </w:r>
            <w:r>
              <w:rPr>
                <w:rFonts w:eastAsia="Calibri" w:cs="Arial"/>
                <w:bCs/>
                <w:sz w:val="24"/>
                <w:szCs w:val="24"/>
                <w:lang w:val="ru-RU" w:eastAsia="en-US" w:bidi="ar-SA"/>
              </w:rPr>
              <w:fldChar w:fldCharType="end"/>
            </w:r>
            <w:r>
              <w:rPr>
                <w:rFonts w:eastAsia="Calibri" w:cs="Arial"/>
                <w:bCs/>
                <w:sz w:val="24"/>
                <w:szCs w:val="24"/>
                <w:lang w:val="ru-RU" w:eastAsia="en-US" w:bidi="ar-SA"/>
              </w:rPr>
              <w:t xml:space="preserve">)</w:t>
              <w:br/>
            </w:r>
            <w:r>
              <w:rPr>
                <w:rFonts w:eastAsia="Calibri" w:cs="Arial"/>
                <w:bCs/>
                <w:i/>
                <w:iCs/>
                <w:sz w:val="24"/>
                <w:szCs w:val="24"/>
                <w:lang w:val="ru-RU" w:eastAsia="en-US" w:bidi="ar-SA"/>
              </w:rPr>
              <w:t xml:space="preserve">(опциональная процедура закупки)</w:t>
            </w:r>
            <w:r>
              <w:rPr>
                <w:bCs/>
                <w:sz w:val="24"/>
                <w:szCs w:val="24"/>
              </w:rPr>
            </w:r>
            <w:r>
              <w:rPr>
                <w:bCs/>
                <w:sz w:val="24"/>
                <w:szCs w:val="24"/>
              </w:rPr>
            </w:r>
          </w:p>
        </w:tc>
        <w:tc>
          <w:tcPr>
            <w:tcW w:w="2409" w:type="dxa"/>
            <w:vMerge w:val="continue"/>
            <w:textDirection w:val="lrTb"/>
            <w:noWrap w:val="false"/>
          </w:tcPr>
          <w:p>
            <w:pPr>
              <w:pStyle w:val="1342"/>
              <w:jc w:val="center"/>
              <w:spacing w:before="40" w:after="40" w:line="240" w:lineRule="auto"/>
              <w:widowControl w:val="off"/>
              <w:rPr>
                <w:bCs/>
                <w:sz w:val="24"/>
                <w:szCs w:val="24"/>
              </w:rPr>
            </w:pPr>
            <w:r>
              <w:rPr>
                <w:bCs/>
                <w:sz w:val="24"/>
                <w:szCs w:val="24"/>
              </w:rPr>
            </w:r>
            <w:r>
              <w:rPr>
                <w:bCs/>
                <w:sz w:val="24"/>
                <w:szCs w:val="24"/>
              </w:rPr>
            </w:r>
            <w:r>
              <w:rPr>
                <w:bCs/>
                <w:sz w:val="24"/>
                <w:szCs w:val="24"/>
              </w:rPr>
            </w:r>
          </w:p>
        </w:tc>
        <w:tc>
          <w:tcPr>
            <w:tcW w:w="2267" w:type="dxa"/>
            <w:vMerge w:val="continue"/>
            <w:textDirection w:val="lrTb"/>
            <w:noWrap w:val="false"/>
          </w:tcPr>
          <w:p>
            <w:pPr>
              <w:pStyle w:val="1342"/>
              <w:jc w:val="center"/>
              <w:spacing w:before="40" w:after="40" w:line="240" w:lineRule="auto"/>
              <w:widowControl w:val="off"/>
              <w:rPr>
                <w:bCs/>
                <w:sz w:val="24"/>
                <w:szCs w:val="24"/>
              </w:rPr>
            </w:pPr>
            <w:r>
              <w:rPr>
                <w:bCs/>
                <w:sz w:val="24"/>
                <w:szCs w:val="24"/>
              </w:rPr>
            </w:r>
            <w:r>
              <w:rPr>
                <w:bCs/>
                <w:sz w:val="24"/>
                <w:szCs w:val="24"/>
              </w:rPr>
            </w:r>
            <w:r>
              <w:rPr>
                <w:bCs/>
                <w:sz w:val="24"/>
                <w:szCs w:val="24"/>
              </w:rPr>
            </w:r>
          </w:p>
        </w:tc>
        <w:tc>
          <w:tcPr>
            <w:tcBorders>
              <w:right w:val="none" w:color="000000" w:sz="4" w:space="0"/>
            </w:tcBorders>
            <w:tcW w:w="2230" w:type="dxa"/>
            <w:vMerge w:val="continue"/>
            <w:textDirection w:val="lrTb"/>
            <w:noWrap w:val="false"/>
          </w:tcPr>
          <w:p>
            <w:pPr>
              <w:pStyle w:val="1342"/>
              <w:jc w:val="center"/>
              <w:spacing w:before="40" w:after="40" w:line="240" w:lineRule="auto"/>
              <w:widowControl w:val="off"/>
              <w:rPr>
                <w:bCs/>
                <w:sz w:val="24"/>
                <w:szCs w:val="24"/>
              </w:rPr>
            </w:pPr>
            <w:r>
              <w:rPr>
                <w:bCs/>
                <w:sz w:val="24"/>
                <w:szCs w:val="24"/>
              </w:rPr>
            </w:r>
            <w:r>
              <w:rPr>
                <w:bCs/>
                <w:sz w:val="24"/>
                <w:szCs w:val="24"/>
              </w:rPr>
            </w:r>
            <w:r>
              <w:rPr>
                <w:bCs/>
                <w:sz w:val="24"/>
                <w:szCs w:val="24"/>
              </w:rPr>
            </w:r>
          </w:p>
        </w:tc>
      </w:tr>
      <w:tr>
        <w:tblPrEx/>
        <w:trPr>
          <w:trHeight w:val="881"/>
        </w:trPr>
        <w:tc>
          <w:tcPr>
            <w:tcBorders>
              <w:left w:val="none" w:color="000000" w:sz="4" w:space="0"/>
            </w:tcBorders>
            <w:tcW w:w="428" w:type="dxa"/>
            <w:vAlign w:val="bottom"/>
            <w:textDirection w:val="lrTb"/>
            <w:noWrap w:val="false"/>
          </w:tcPr>
          <w:p>
            <w:pPr>
              <w:pStyle w:val="1342"/>
              <w:jc w:val="center"/>
              <w:spacing w:before="40" w:after="40" w:line="240" w:lineRule="auto"/>
              <w:widowControl w:val="off"/>
              <w:rPr>
                <w:bCs/>
                <w:sz w:val="24"/>
                <w:szCs w:val="24"/>
              </w:rPr>
            </w:pPr>
            <w:r>
              <w:rPr>
                <w:rFonts w:ascii="Wingdings 3" w:hAnsi="Wingdings 3" w:eastAsia="Wingdings 3" w:cs="Wingdings 3"/>
                <w:bCs/>
                <w:sz w:val="24"/>
                <w:szCs w:val="24"/>
                <w:lang w:val="ru-RU" w:eastAsia="en-US" w:bidi="ar-SA"/>
              </w:rPr>
              <w:t xml:space="preserve">Ô</w:t>
            </w:r>
            <w:r>
              <w:rPr>
                <w:bCs/>
                <w:sz w:val="24"/>
                <w:szCs w:val="24"/>
              </w:rPr>
            </w:r>
            <w:r>
              <w:rPr>
                <w:bCs/>
                <w:sz w:val="24"/>
                <w:szCs w:val="24"/>
              </w:rPr>
            </w:r>
          </w:p>
        </w:tc>
        <w:tc>
          <w:tcPr>
            <w:tcW w:w="2221" w:type="dxa"/>
            <w:vAlign w:val="center"/>
            <w:textDirection w:val="lrTb"/>
            <w:noWrap w:val="false"/>
          </w:tcPr>
          <w:p>
            <w:pPr>
              <w:pStyle w:val="1342"/>
              <w:jc w:val="center"/>
              <w:spacing w:before="40" w:after="40" w:line="240" w:lineRule="auto"/>
              <w:widowControl w:val="off"/>
              <w:rPr>
                <w:bCs/>
                <w:sz w:val="24"/>
                <w:szCs w:val="24"/>
              </w:rPr>
            </w:pPr>
            <w:r>
              <w:rPr>
                <w:rFonts w:eastAsia="Calibri" w:cs="Arial"/>
                <w:bCs/>
                <w:sz w:val="24"/>
                <w:szCs w:val="24"/>
                <w:lang w:val="ru-RU" w:eastAsia="en-US" w:bidi="ar-SA"/>
              </w:rPr>
              <w:t xml:space="preserve">Оценка и сопоставление заявок</w:t>
              <w:br/>
              <w:t xml:space="preserve">(подраздел </w:t>
            </w:r>
            <w:r>
              <w:rPr>
                <w:rFonts w:eastAsia="Calibri" w:cs="Arial"/>
                <w:bCs/>
                <w:sz w:val="24"/>
                <w:szCs w:val="24"/>
                <w:lang w:val="ru-RU" w:eastAsia="en-US" w:bidi="ar-SA"/>
              </w:rPr>
              <w:fldChar w:fldCharType="begin"/>
            </w:r>
            <w:r>
              <w:rPr>
                <w:rFonts w:eastAsia="Calibri" w:cs="Arial"/>
                <w:bCs/>
                <w:sz w:val="24"/>
                <w:szCs w:val="24"/>
                <w:lang w:val="ru-RU" w:eastAsia="en-US" w:bidi="ar-SA"/>
              </w:rPr>
              <w:instrText xml:space="preserve"> REF _Ref125362626 \r \h </w:instrText>
            </w:r>
            <w:r>
              <w:rPr>
                <w:rFonts w:eastAsia="Calibri" w:cs="Arial"/>
                <w:bCs/>
                <w:sz w:val="24"/>
                <w:szCs w:val="24"/>
                <w:lang w:val="ru-RU" w:eastAsia="en-US" w:bidi="ar-SA"/>
              </w:rPr>
              <w:fldChar w:fldCharType="separate"/>
            </w:r>
            <w:r>
              <w:rPr>
                <w:rFonts w:eastAsia="Calibri" w:cs="Arial"/>
                <w:bCs/>
                <w:sz w:val="24"/>
                <w:szCs w:val="24"/>
                <w:lang w:val="ru-RU" w:eastAsia="en-US" w:bidi="ar-SA"/>
              </w:rPr>
              <w:t xml:space="preserve">4.12</w:t>
            </w:r>
            <w:r>
              <w:rPr>
                <w:rFonts w:eastAsia="Calibri" w:cs="Arial"/>
                <w:bCs/>
                <w:sz w:val="24"/>
                <w:szCs w:val="24"/>
                <w:lang w:val="ru-RU" w:eastAsia="en-US" w:bidi="ar-SA"/>
              </w:rPr>
              <w:fldChar w:fldCharType="end"/>
            </w:r>
            <w:r>
              <w:rPr>
                <w:rFonts w:eastAsia="Calibri" w:cs="Arial"/>
                <w:bCs/>
                <w:sz w:val="24"/>
                <w:szCs w:val="24"/>
                <w:lang w:val="ru-RU" w:eastAsia="en-US" w:bidi="ar-SA"/>
              </w:rPr>
              <w:t xml:space="preserve">)</w:t>
            </w:r>
            <w:r>
              <w:rPr>
                <w:bCs/>
                <w:sz w:val="24"/>
                <w:szCs w:val="24"/>
              </w:rPr>
            </w:r>
            <w:r>
              <w:rPr>
                <w:bCs/>
                <w:sz w:val="24"/>
                <w:szCs w:val="24"/>
              </w:rPr>
            </w:r>
          </w:p>
        </w:tc>
        <w:tc>
          <w:tcPr>
            <w:gridSpan w:val="3"/>
            <w:tcW w:w="4447" w:type="dxa"/>
            <w:textDirection w:val="lrTb"/>
            <w:noWrap w:val="false"/>
          </w:tcPr>
          <w:p>
            <w:pPr>
              <w:pStyle w:val="1342"/>
              <w:jc w:val="center"/>
              <w:spacing w:before="40" w:after="40" w:line="240" w:lineRule="auto"/>
              <w:widowControl w:val="off"/>
              <w:rPr>
                <w:bCs/>
                <w:sz w:val="24"/>
                <w:szCs w:val="24"/>
              </w:rPr>
            </w:pPr>
            <w:r>
              <w:rPr>
                <w:rFonts w:eastAsia="Calibri" w:cs="Arial"/>
                <w:bCs/>
                <w:sz w:val="24"/>
                <w:szCs w:val="24"/>
                <w:lang w:val="ru-RU" w:eastAsia="en-US" w:bidi="ar-SA"/>
              </w:rPr>
              <w:t xml:space="preserve">Применение законодательства о национальном режиме</w:t>
              <w:br/>
              <w:t xml:space="preserve">(в части учета установленного преимущества в цене предложения, если применимо)</w:t>
              <w:br/>
              <w:t xml:space="preserve">(подраздел </w:t>
            </w:r>
            <w:r>
              <w:rPr>
                <w:rFonts w:eastAsia="Calibri" w:cs="Arial"/>
                <w:bCs/>
                <w:sz w:val="24"/>
                <w:szCs w:val="24"/>
                <w:lang w:val="ru-RU" w:eastAsia="en-US" w:bidi="ar-SA"/>
              </w:rPr>
              <w:fldChar w:fldCharType="begin"/>
            </w:r>
            <w:r>
              <w:rPr>
                <w:rFonts w:eastAsia="Calibri" w:cs="Arial"/>
                <w:bCs/>
                <w:sz w:val="24"/>
                <w:szCs w:val="24"/>
                <w:lang w:val="ru-RU" w:eastAsia="en-US" w:bidi="ar-SA"/>
              </w:rPr>
              <w:instrText xml:space="preserve"> REF _Ref130985951 \r \h </w:instrText>
            </w:r>
            <w:r>
              <w:rPr>
                <w:rFonts w:eastAsia="Calibri" w:cs="Arial"/>
                <w:bCs/>
                <w:sz w:val="24"/>
                <w:szCs w:val="24"/>
                <w:lang w:val="ru-RU" w:eastAsia="en-US" w:bidi="ar-SA"/>
              </w:rPr>
              <w:fldChar w:fldCharType="separate"/>
            </w:r>
            <w:r>
              <w:rPr>
                <w:rFonts w:eastAsia="Calibri" w:cs="Arial"/>
                <w:bCs/>
                <w:sz w:val="24"/>
                <w:szCs w:val="24"/>
                <w:lang w:val="ru-RU" w:eastAsia="en-US" w:bidi="ar-SA"/>
              </w:rPr>
              <w:t xml:space="preserve">4.13</w:t>
            </w:r>
            <w:r>
              <w:rPr>
                <w:rFonts w:eastAsia="Calibri" w:cs="Arial"/>
                <w:bCs/>
                <w:sz w:val="24"/>
                <w:szCs w:val="24"/>
                <w:lang w:val="ru-RU" w:eastAsia="en-US" w:bidi="ar-SA"/>
              </w:rPr>
              <w:fldChar w:fldCharType="end"/>
            </w:r>
            <w:r>
              <w:rPr>
                <w:rFonts w:eastAsia="Calibri" w:cs="Arial"/>
                <w:bCs/>
                <w:sz w:val="24"/>
                <w:szCs w:val="24"/>
                <w:lang w:val="ru-RU" w:eastAsia="en-US" w:bidi="ar-SA"/>
              </w:rPr>
              <w:t xml:space="preserve">)</w:t>
            </w:r>
            <w:r>
              <w:rPr>
                <w:bCs/>
                <w:sz w:val="24"/>
                <w:szCs w:val="24"/>
              </w:rPr>
            </w:r>
            <w:r>
              <w:rPr>
                <w:bCs/>
                <w:sz w:val="24"/>
                <w:szCs w:val="24"/>
              </w:rPr>
            </w:r>
          </w:p>
        </w:tc>
        <w:tc>
          <w:tcPr>
            <w:tcW w:w="2409" w:type="dxa"/>
            <w:vMerge w:val="continue"/>
            <w:textDirection w:val="lrTb"/>
            <w:noWrap w:val="false"/>
          </w:tcPr>
          <w:p>
            <w:pPr>
              <w:pStyle w:val="1342"/>
              <w:jc w:val="center"/>
              <w:spacing w:before="40" w:after="40" w:line="240" w:lineRule="auto"/>
              <w:widowControl w:val="off"/>
              <w:rPr>
                <w:bCs/>
                <w:sz w:val="24"/>
                <w:szCs w:val="24"/>
              </w:rPr>
            </w:pPr>
            <w:r>
              <w:rPr>
                <w:bCs/>
                <w:sz w:val="24"/>
                <w:szCs w:val="24"/>
              </w:rPr>
            </w:r>
            <w:r>
              <w:rPr>
                <w:bCs/>
                <w:sz w:val="24"/>
                <w:szCs w:val="24"/>
              </w:rPr>
            </w:r>
            <w:r>
              <w:rPr>
                <w:bCs/>
                <w:sz w:val="24"/>
                <w:szCs w:val="24"/>
              </w:rPr>
            </w:r>
          </w:p>
        </w:tc>
        <w:tc>
          <w:tcPr>
            <w:tcW w:w="2267" w:type="dxa"/>
            <w:vMerge w:val="continue"/>
            <w:textDirection w:val="lrTb"/>
            <w:noWrap w:val="false"/>
          </w:tcPr>
          <w:p>
            <w:pPr>
              <w:pStyle w:val="1342"/>
              <w:jc w:val="center"/>
              <w:spacing w:before="40" w:after="40" w:line="240" w:lineRule="auto"/>
              <w:widowControl w:val="off"/>
              <w:rPr>
                <w:bCs/>
                <w:sz w:val="24"/>
                <w:szCs w:val="24"/>
              </w:rPr>
            </w:pPr>
            <w:r>
              <w:rPr>
                <w:bCs/>
                <w:sz w:val="24"/>
                <w:szCs w:val="24"/>
              </w:rPr>
            </w:r>
            <w:r>
              <w:rPr>
                <w:bCs/>
                <w:sz w:val="24"/>
                <w:szCs w:val="24"/>
              </w:rPr>
            </w:r>
            <w:r>
              <w:rPr>
                <w:bCs/>
                <w:sz w:val="24"/>
                <w:szCs w:val="24"/>
              </w:rPr>
            </w:r>
          </w:p>
        </w:tc>
        <w:tc>
          <w:tcPr>
            <w:tcBorders>
              <w:right w:val="none" w:color="000000" w:sz="4" w:space="0"/>
            </w:tcBorders>
            <w:tcW w:w="2230" w:type="dxa"/>
            <w:vMerge w:val="continue"/>
            <w:textDirection w:val="lrTb"/>
            <w:noWrap w:val="false"/>
          </w:tcPr>
          <w:p>
            <w:pPr>
              <w:pStyle w:val="1342"/>
              <w:jc w:val="center"/>
              <w:spacing w:before="40" w:after="40" w:line="240" w:lineRule="auto"/>
              <w:widowControl w:val="off"/>
              <w:rPr>
                <w:bCs/>
                <w:sz w:val="24"/>
                <w:szCs w:val="24"/>
              </w:rPr>
            </w:pPr>
            <w:r>
              <w:rPr>
                <w:bCs/>
                <w:sz w:val="24"/>
                <w:szCs w:val="24"/>
              </w:rPr>
            </w:r>
            <w:r>
              <w:rPr>
                <w:bCs/>
                <w:sz w:val="24"/>
                <w:szCs w:val="24"/>
              </w:rPr>
            </w:r>
            <w:r>
              <w:rPr>
                <w:bCs/>
                <w:sz w:val="24"/>
                <w:szCs w:val="24"/>
              </w:rPr>
            </w:r>
          </w:p>
        </w:tc>
      </w:tr>
      <w:tr>
        <w:tblPrEx/>
        <w:trPr/>
        <w:tc>
          <w:tcPr>
            <w:tcBorders>
              <w:left w:val="none" w:color="000000" w:sz="4" w:space="0"/>
            </w:tcBorders>
            <w:tcW w:w="428" w:type="dxa"/>
            <w:vAlign w:val="bottom"/>
            <w:textDirection w:val="lrTb"/>
            <w:noWrap w:val="false"/>
          </w:tcPr>
          <w:p>
            <w:pPr>
              <w:pStyle w:val="1342"/>
              <w:jc w:val="center"/>
              <w:spacing w:before="40" w:after="40" w:line="240" w:lineRule="auto"/>
              <w:widowControl w:val="off"/>
              <w:rPr>
                <w:bCs/>
                <w:sz w:val="24"/>
                <w:szCs w:val="24"/>
              </w:rPr>
            </w:pPr>
            <w:r>
              <w:rPr>
                <w:rFonts w:ascii="Wingdings 3" w:hAnsi="Wingdings 3" w:eastAsia="Wingdings 3" w:cs="Wingdings 3"/>
                <w:bCs/>
                <w:sz w:val="24"/>
                <w:szCs w:val="24"/>
                <w:lang w:val="ru-RU" w:eastAsia="en-US" w:bidi="ar-SA"/>
              </w:rPr>
              <w:t xml:space="preserve">Ô</w:t>
            </w:r>
            <w:r>
              <w:rPr>
                <w:bCs/>
                <w:sz w:val="24"/>
                <w:szCs w:val="24"/>
              </w:rPr>
            </w:r>
            <w:r>
              <w:rPr>
                <w:bCs/>
                <w:sz w:val="24"/>
                <w:szCs w:val="24"/>
              </w:rPr>
            </w:r>
          </w:p>
        </w:tc>
        <w:tc>
          <w:tcPr>
            <w:gridSpan w:val="5"/>
            <w:tcW w:w="9077" w:type="dxa"/>
            <w:textDirection w:val="lrTb"/>
            <w:noWrap w:val="false"/>
          </w:tcPr>
          <w:p>
            <w:pPr>
              <w:pStyle w:val="1342"/>
              <w:jc w:val="center"/>
              <w:spacing w:before="40" w:after="40" w:line="240" w:lineRule="auto"/>
              <w:widowControl w:val="off"/>
              <w:rPr>
                <w:bCs/>
                <w:sz w:val="24"/>
                <w:szCs w:val="24"/>
              </w:rPr>
            </w:pPr>
            <w:r>
              <w:rPr>
                <w:rFonts w:eastAsia="Calibri" w:cs="Arial"/>
                <w:bCs/>
                <w:sz w:val="24"/>
                <w:szCs w:val="24"/>
                <w:lang w:val="ru-RU" w:eastAsia="en-US" w:bidi="ar-SA"/>
              </w:rPr>
              <w:t xml:space="preserve">Подведение итогов закупки (определение Победителя) (подраздел </w:t>
            </w:r>
            <w:r>
              <w:rPr>
                <w:rFonts w:eastAsia="Calibri" w:cs="Arial"/>
                <w:bCs/>
                <w:sz w:val="24"/>
                <w:szCs w:val="24"/>
                <w:lang w:val="ru-RU" w:eastAsia="en-US" w:bidi="ar-SA"/>
              </w:rPr>
              <w:fldChar w:fldCharType="begin"/>
            </w:r>
            <w:r>
              <w:rPr>
                <w:rFonts w:eastAsia="Calibri" w:cs="Arial"/>
                <w:bCs/>
                <w:sz w:val="24"/>
                <w:szCs w:val="24"/>
                <w:lang w:val="ru-RU" w:eastAsia="en-US" w:bidi="ar-SA"/>
              </w:rPr>
              <w:instrText xml:space="preserve"> REF _Ref125362658 \r \h </w:instrText>
            </w:r>
            <w:r>
              <w:rPr>
                <w:rFonts w:eastAsia="Calibri" w:cs="Arial"/>
                <w:bCs/>
                <w:sz w:val="24"/>
                <w:szCs w:val="24"/>
                <w:lang w:val="ru-RU" w:eastAsia="en-US" w:bidi="ar-SA"/>
              </w:rPr>
              <w:fldChar w:fldCharType="separate"/>
            </w:r>
            <w:r>
              <w:rPr>
                <w:rFonts w:eastAsia="Calibri" w:cs="Arial"/>
                <w:bCs/>
                <w:sz w:val="24"/>
                <w:szCs w:val="24"/>
                <w:lang w:val="ru-RU" w:eastAsia="en-US" w:bidi="ar-SA"/>
              </w:rPr>
              <w:t xml:space="preserve">4.14</w:t>
            </w:r>
            <w:r>
              <w:rPr>
                <w:rFonts w:eastAsia="Calibri" w:cs="Arial"/>
                <w:bCs/>
                <w:sz w:val="24"/>
                <w:szCs w:val="24"/>
                <w:lang w:val="ru-RU" w:eastAsia="en-US" w:bidi="ar-SA"/>
              </w:rPr>
              <w:fldChar w:fldCharType="end"/>
            </w:r>
            <w:r>
              <w:rPr>
                <w:rFonts w:eastAsia="Calibri" w:cs="Arial"/>
                <w:bCs/>
                <w:sz w:val="24"/>
                <w:szCs w:val="24"/>
                <w:lang w:val="ru-RU" w:eastAsia="en-US" w:bidi="ar-SA"/>
              </w:rPr>
              <w:t xml:space="preserve">)</w:t>
            </w:r>
            <w:r>
              <w:rPr>
                <w:bCs/>
                <w:sz w:val="24"/>
                <w:szCs w:val="24"/>
              </w:rPr>
            </w:r>
            <w:r>
              <w:rPr>
                <w:bCs/>
                <w:sz w:val="24"/>
                <w:szCs w:val="24"/>
              </w:rPr>
            </w:r>
          </w:p>
        </w:tc>
        <w:tc>
          <w:tcPr>
            <w:tcW w:w="2267" w:type="dxa"/>
            <w:vMerge w:val="continue"/>
            <w:textDirection w:val="lrTb"/>
            <w:noWrap w:val="false"/>
          </w:tcPr>
          <w:p>
            <w:pPr>
              <w:pStyle w:val="1342"/>
              <w:jc w:val="center"/>
              <w:spacing w:before="40" w:after="40" w:line="240" w:lineRule="auto"/>
              <w:widowControl w:val="off"/>
              <w:rPr>
                <w:bCs/>
                <w:sz w:val="24"/>
                <w:szCs w:val="24"/>
              </w:rPr>
            </w:pPr>
            <w:r>
              <w:rPr>
                <w:bCs/>
                <w:sz w:val="24"/>
                <w:szCs w:val="24"/>
              </w:rPr>
            </w:r>
            <w:r>
              <w:rPr>
                <w:bCs/>
                <w:sz w:val="24"/>
                <w:szCs w:val="24"/>
              </w:rPr>
            </w:r>
            <w:r>
              <w:rPr>
                <w:bCs/>
                <w:sz w:val="24"/>
                <w:szCs w:val="24"/>
              </w:rPr>
            </w:r>
          </w:p>
        </w:tc>
        <w:tc>
          <w:tcPr>
            <w:tcBorders>
              <w:right w:val="none" w:color="000000" w:sz="4" w:space="0"/>
            </w:tcBorders>
            <w:tcW w:w="2230" w:type="dxa"/>
            <w:vMerge w:val="continue"/>
            <w:textDirection w:val="lrTb"/>
            <w:noWrap w:val="false"/>
          </w:tcPr>
          <w:p>
            <w:pPr>
              <w:pStyle w:val="1342"/>
              <w:jc w:val="center"/>
              <w:spacing w:before="40" w:after="40" w:line="240" w:lineRule="auto"/>
              <w:widowControl w:val="off"/>
              <w:rPr>
                <w:bCs/>
                <w:sz w:val="24"/>
                <w:szCs w:val="24"/>
              </w:rPr>
            </w:pPr>
            <w:r>
              <w:rPr>
                <w:bCs/>
                <w:sz w:val="24"/>
                <w:szCs w:val="24"/>
              </w:rPr>
            </w:r>
            <w:r>
              <w:rPr>
                <w:bCs/>
                <w:sz w:val="24"/>
                <w:szCs w:val="24"/>
              </w:rPr>
            </w:r>
            <w:r>
              <w:rPr>
                <w:bCs/>
                <w:sz w:val="24"/>
                <w:szCs w:val="24"/>
              </w:rPr>
            </w:r>
          </w:p>
        </w:tc>
      </w:tr>
      <w:tr>
        <w:tblPrEx/>
        <w:trPr/>
        <w:tc>
          <w:tcPr>
            <w:tcBorders>
              <w:left w:val="none" w:color="000000" w:sz="4" w:space="0"/>
            </w:tcBorders>
            <w:tcW w:w="428" w:type="dxa"/>
            <w:vAlign w:val="bottom"/>
            <w:textDirection w:val="lrTb"/>
            <w:noWrap w:val="false"/>
          </w:tcPr>
          <w:p>
            <w:pPr>
              <w:pStyle w:val="1342"/>
              <w:jc w:val="center"/>
              <w:spacing w:before="40" w:after="40" w:line="240" w:lineRule="auto"/>
              <w:widowControl w:val="off"/>
              <w:rPr>
                <w:bCs/>
                <w:sz w:val="24"/>
                <w:szCs w:val="24"/>
                <w:u w:val="single"/>
              </w:rPr>
            </w:pPr>
            <w:r>
              <w:rPr>
                <w:rFonts w:ascii="Wingdings 3" w:hAnsi="Wingdings 3" w:eastAsia="Wingdings 3" w:cs="Wingdings 3"/>
                <w:bCs/>
                <w:sz w:val="24"/>
                <w:szCs w:val="24"/>
                <w:u w:val="single"/>
                <w:lang w:val="ru-RU" w:eastAsia="en-US" w:bidi="ar-SA"/>
              </w:rPr>
              <w:t xml:space="preserve">Ô</w:t>
            </w:r>
            <w:r>
              <w:rPr>
                <w:bCs/>
                <w:sz w:val="24"/>
                <w:szCs w:val="24"/>
                <w:u w:val="single"/>
              </w:rPr>
            </w:r>
            <w:r>
              <w:rPr>
                <w:bCs/>
                <w:sz w:val="24"/>
                <w:szCs w:val="24"/>
                <w:u w:val="single"/>
              </w:rPr>
            </w:r>
          </w:p>
        </w:tc>
        <w:tc>
          <w:tcPr>
            <w:gridSpan w:val="3"/>
            <w:tcW w:w="4442" w:type="dxa"/>
            <w:textDirection w:val="lrTb"/>
            <w:noWrap w:val="false"/>
          </w:tcPr>
          <w:p>
            <w:pPr>
              <w:pStyle w:val="1342"/>
              <w:jc w:val="center"/>
              <w:spacing w:before="40" w:after="40" w:line="240" w:lineRule="auto"/>
              <w:widowControl w:val="off"/>
              <w:rPr>
                <w:bCs/>
                <w:sz w:val="24"/>
                <w:szCs w:val="24"/>
              </w:rPr>
            </w:pPr>
            <w:r>
              <w:rPr>
                <w:rFonts w:eastAsia="Calibri" w:cs="Arial"/>
                <w:bCs/>
                <w:sz w:val="24"/>
                <w:szCs w:val="24"/>
                <w:lang w:val="ru-RU" w:eastAsia="en-US" w:bidi="ar-SA"/>
              </w:rPr>
              <w:t xml:space="preserve">Заключение Договора</w:t>
              <w:br/>
              <w:t xml:space="preserve">(подраздел </w:t>
            </w:r>
            <w:r>
              <w:rPr>
                <w:rFonts w:eastAsia="Calibri" w:cs="Arial"/>
                <w:bCs/>
                <w:sz w:val="24"/>
                <w:szCs w:val="24"/>
                <w:lang w:val="ru-RU" w:eastAsia="en-US" w:bidi="ar-SA"/>
              </w:rPr>
              <w:fldChar w:fldCharType="begin"/>
            </w:r>
            <w:r>
              <w:rPr>
                <w:rFonts w:eastAsia="Calibri" w:cs="Arial"/>
                <w:bCs/>
                <w:sz w:val="24"/>
                <w:szCs w:val="24"/>
                <w:lang w:val="ru-RU" w:eastAsia="en-US" w:bidi="ar-SA"/>
              </w:rPr>
              <w:instrText xml:space="preserve"> REF _Ref138232981 \r \h </w:instrText>
            </w:r>
            <w:r>
              <w:rPr>
                <w:rFonts w:eastAsia="Calibri" w:cs="Arial"/>
                <w:bCs/>
                <w:sz w:val="24"/>
                <w:szCs w:val="24"/>
                <w:lang w:val="ru-RU" w:eastAsia="en-US" w:bidi="ar-SA"/>
              </w:rPr>
              <w:fldChar w:fldCharType="separate"/>
            </w:r>
            <w:r>
              <w:rPr>
                <w:rFonts w:eastAsia="Calibri" w:cs="Arial"/>
                <w:bCs/>
                <w:sz w:val="24"/>
                <w:szCs w:val="24"/>
                <w:lang w:val="ru-RU" w:eastAsia="en-US" w:bidi="ar-SA"/>
              </w:rPr>
              <w:t xml:space="preserve">5.2</w:t>
            </w:r>
            <w:r>
              <w:rPr>
                <w:rFonts w:eastAsia="Calibri" w:cs="Arial"/>
                <w:bCs/>
                <w:sz w:val="24"/>
                <w:szCs w:val="24"/>
                <w:lang w:val="ru-RU" w:eastAsia="en-US" w:bidi="ar-SA"/>
              </w:rPr>
              <w:fldChar w:fldCharType="end"/>
            </w:r>
            <w:r>
              <w:rPr>
                <w:rFonts w:eastAsia="Calibri" w:cs="Arial"/>
                <w:bCs/>
                <w:sz w:val="24"/>
                <w:szCs w:val="24"/>
                <w:lang w:val="ru-RU" w:eastAsia="en-US" w:bidi="ar-SA"/>
              </w:rPr>
              <w:t xml:space="preserve">)</w:t>
            </w:r>
            <w:r>
              <w:rPr>
                <w:bCs/>
                <w:sz w:val="24"/>
                <w:szCs w:val="24"/>
              </w:rPr>
            </w:r>
            <w:r>
              <w:rPr>
                <w:bCs/>
                <w:sz w:val="24"/>
                <w:szCs w:val="24"/>
              </w:rPr>
            </w:r>
          </w:p>
          <w:p>
            <w:pPr>
              <w:pStyle w:val="1342"/>
              <w:jc w:val="center"/>
              <w:spacing w:before="40" w:after="40" w:line="240" w:lineRule="auto"/>
              <w:widowControl w:val="off"/>
              <w:rPr>
                <w:bCs/>
                <w:sz w:val="24"/>
                <w:szCs w:val="24"/>
              </w:rPr>
            </w:pPr>
            <w:r>
              <w:rPr>
                <w:bCs/>
                <w:sz w:val="24"/>
                <w:szCs w:val="24"/>
              </w:rPr>
            </w:r>
            <w:r>
              <w:rPr>
                <w:bCs/>
                <w:sz w:val="24"/>
                <w:szCs w:val="24"/>
              </w:rPr>
            </w:r>
            <w:r>
              <w:rPr>
                <w:bCs/>
                <w:sz w:val="24"/>
                <w:szCs w:val="24"/>
              </w:rPr>
            </w:r>
          </w:p>
        </w:tc>
        <w:tc>
          <w:tcPr>
            <w:gridSpan w:val="2"/>
            <w:tcW w:w="4635" w:type="dxa"/>
            <w:textDirection w:val="lrTb"/>
            <w:noWrap w:val="false"/>
          </w:tcPr>
          <w:p>
            <w:pPr>
              <w:pStyle w:val="1342"/>
              <w:jc w:val="center"/>
              <w:spacing w:before="40" w:after="40" w:line="240" w:lineRule="auto"/>
              <w:widowControl w:val="off"/>
              <w:rPr>
                <w:bCs/>
                <w:sz w:val="24"/>
                <w:szCs w:val="24"/>
              </w:rPr>
            </w:pPr>
            <w:r>
              <w:rPr>
                <w:rFonts w:eastAsia="Calibri" w:cs="Arial"/>
                <w:bCs/>
                <w:sz w:val="24"/>
                <w:szCs w:val="24"/>
                <w:lang w:val="ru-RU" w:eastAsia="en-US" w:bidi="ar-SA"/>
              </w:rPr>
              <w:t xml:space="preserve">Проведение преддоговорных переговоров</w:t>
              <w:br/>
              <w:t xml:space="preserve">(подраздел </w:t>
            </w:r>
            <w:r>
              <w:rPr>
                <w:rFonts w:eastAsia="Calibri" w:cs="Arial"/>
                <w:bCs/>
                <w:sz w:val="24"/>
                <w:szCs w:val="24"/>
                <w:lang w:val="ru-RU" w:eastAsia="en-US" w:bidi="ar-SA"/>
              </w:rPr>
              <w:fldChar w:fldCharType="begin"/>
            </w:r>
            <w:r>
              <w:rPr>
                <w:rFonts w:eastAsia="Calibri" w:cs="Arial"/>
                <w:bCs/>
                <w:sz w:val="24"/>
                <w:szCs w:val="24"/>
                <w:lang w:val="ru-RU" w:eastAsia="en-US" w:bidi="ar-SA"/>
              </w:rPr>
              <w:instrText xml:space="preserve"> REF _Ref125552570 \r \h </w:instrText>
            </w:r>
            <w:r>
              <w:rPr>
                <w:rFonts w:eastAsia="Calibri" w:cs="Arial"/>
                <w:bCs/>
                <w:sz w:val="24"/>
                <w:szCs w:val="24"/>
                <w:lang w:val="ru-RU" w:eastAsia="en-US" w:bidi="ar-SA"/>
              </w:rPr>
              <w:fldChar w:fldCharType="separate"/>
            </w:r>
            <w:r>
              <w:rPr>
                <w:rFonts w:eastAsia="Calibri" w:cs="Arial"/>
                <w:bCs/>
                <w:sz w:val="24"/>
                <w:szCs w:val="24"/>
                <w:lang w:val="ru-RU" w:eastAsia="en-US" w:bidi="ar-SA"/>
              </w:rPr>
              <w:t xml:space="preserve">5.3</w:t>
            </w:r>
            <w:r>
              <w:rPr>
                <w:rFonts w:eastAsia="Calibri" w:cs="Arial"/>
                <w:bCs/>
                <w:sz w:val="24"/>
                <w:szCs w:val="24"/>
                <w:lang w:val="ru-RU" w:eastAsia="en-US" w:bidi="ar-SA"/>
              </w:rPr>
              <w:fldChar w:fldCharType="end"/>
            </w:r>
            <w:r>
              <w:rPr>
                <w:rFonts w:eastAsia="Calibri" w:cs="Arial"/>
                <w:bCs/>
                <w:sz w:val="24"/>
                <w:szCs w:val="24"/>
                <w:lang w:val="ru-RU" w:eastAsia="en-US" w:bidi="ar-SA"/>
              </w:rPr>
              <w:t xml:space="preserve">)</w:t>
              <w:br/>
            </w:r>
            <w:r>
              <w:rPr>
                <w:rFonts w:eastAsia="Calibri" w:cs="Arial"/>
                <w:bCs/>
                <w:i/>
                <w:iCs/>
                <w:sz w:val="24"/>
                <w:szCs w:val="24"/>
                <w:lang w:val="ru-RU" w:eastAsia="en-US" w:bidi="ar-SA"/>
              </w:rPr>
              <w:t xml:space="preserve">(опциональная процедура закупки)</w:t>
            </w:r>
            <w:r>
              <w:rPr>
                <w:bCs/>
                <w:sz w:val="24"/>
                <w:szCs w:val="24"/>
              </w:rPr>
            </w:r>
            <w:r>
              <w:rPr>
                <w:bCs/>
                <w:sz w:val="24"/>
                <w:szCs w:val="24"/>
              </w:rPr>
            </w:r>
          </w:p>
        </w:tc>
        <w:tc>
          <w:tcPr>
            <w:gridSpan w:val="2"/>
            <w:tcBorders>
              <w:right w:val="none" w:color="000000" w:sz="4" w:space="0"/>
            </w:tcBorders>
            <w:tcW w:w="4497" w:type="dxa"/>
            <w:textDirection w:val="lrTb"/>
            <w:noWrap w:val="false"/>
          </w:tcPr>
          <w:p>
            <w:pPr>
              <w:pStyle w:val="1342"/>
              <w:jc w:val="center"/>
              <w:spacing w:before="40" w:after="40" w:line="240" w:lineRule="auto"/>
              <w:widowControl w:val="off"/>
              <w:rPr>
                <w:bCs/>
                <w:sz w:val="24"/>
                <w:szCs w:val="24"/>
              </w:rPr>
            </w:pPr>
            <w:r>
              <w:rPr>
                <w:rFonts w:eastAsia="Calibri" w:cs="Arial"/>
                <w:bCs/>
                <w:sz w:val="24"/>
                <w:szCs w:val="24"/>
                <w:lang w:val="ru-RU" w:eastAsia="en-US" w:bidi="ar-SA"/>
              </w:rPr>
              <w:t xml:space="preserve">Уклонение Победителя</w:t>
              <w:br/>
              <w:t xml:space="preserve">от заключения Договора (подраздел </w:t>
            </w:r>
            <w:r>
              <w:rPr>
                <w:rFonts w:eastAsia="Calibri" w:cs="Arial"/>
                <w:bCs/>
                <w:sz w:val="24"/>
                <w:szCs w:val="24"/>
                <w:lang w:val="ru-RU" w:eastAsia="en-US" w:bidi="ar-SA"/>
              </w:rPr>
              <w:fldChar w:fldCharType="begin"/>
            </w:r>
            <w:r>
              <w:rPr>
                <w:rFonts w:eastAsia="Calibri" w:cs="Arial"/>
                <w:bCs/>
                <w:sz w:val="24"/>
                <w:szCs w:val="24"/>
                <w:lang w:val="ru-RU" w:eastAsia="en-US" w:bidi="ar-SA"/>
              </w:rPr>
              <w:instrText xml:space="preserve"> REF _Ref125367068 \r \h </w:instrText>
            </w:r>
            <w:r>
              <w:rPr>
                <w:rFonts w:eastAsia="Calibri" w:cs="Arial"/>
                <w:bCs/>
                <w:sz w:val="24"/>
                <w:szCs w:val="24"/>
                <w:lang w:val="ru-RU" w:eastAsia="en-US" w:bidi="ar-SA"/>
              </w:rPr>
              <w:fldChar w:fldCharType="separate"/>
            </w:r>
            <w:r>
              <w:rPr>
                <w:rFonts w:eastAsia="Calibri" w:cs="Arial"/>
                <w:bCs/>
                <w:sz w:val="24"/>
                <w:szCs w:val="24"/>
                <w:lang w:val="ru-RU" w:eastAsia="en-US" w:bidi="ar-SA"/>
              </w:rPr>
              <w:t xml:space="preserve">5.4</w:t>
            </w:r>
            <w:r>
              <w:rPr>
                <w:rFonts w:eastAsia="Calibri" w:cs="Arial"/>
                <w:bCs/>
                <w:sz w:val="24"/>
                <w:szCs w:val="24"/>
                <w:lang w:val="ru-RU" w:eastAsia="en-US" w:bidi="ar-SA"/>
              </w:rPr>
              <w:fldChar w:fldCharType="end"/>
            </w:r>
            <w:r>
              <w:rPr>
                <w:rFonts w:eastAsia="Calibri" w:cs="Arial"/>
                <w:bCs/>
                <w:sz w:val="24"/>
                <w:szCs w:val="24"/>
                <w:lang w:val="ru-RU" w:eastAsia="en-US" w:bidi="ar-SA"/>
              </w:rPr>
              <w:t xml:space="preserve">)</w:t>
              <w:br/>
            </w:r>
            <w:r>
              <w:rPr>
                <w:rFonts w:eastAsia="Calibri" w:cs="Arial"/>
                <w:bCs/>
                <w:i/>
                <w:iCs/>
                <w:sz w:val="24"/>
                <w:szCs w:val="24"/>
                <w:lang w:val="ru-RU" w:eastAsia="en-US" w:bidi="ar-SA"/>
              </w:rPr>
              <w:t xml:space="preserve">(опциональная процедура закупки)</w:t>
            </w:r>
            <w:r>
              <w:rPr>
                <w:bCs/>
                <w:sz w:val="24"/>
                <w:szCs w:val="24"/>
              </w:rPr>
            </w:r>
            <w:r>
              <w:rPr>
                <w:bCs/>
                <w:sz w:val="24"/>
                <w:szCs w:val="24"/>
              </w:rPr>
            </w:r>
          </w:p>
        </w:tc>
      </w:tr>
    </w:tbl>
    <w:p>
      <w:pPr>
        <w:sectPr>
          <w:headerReference w:type="default" r:id="rId10"/>
          <w:headerReference w:type="first" r:id="rId11"/>
          <w:footerReference w:type="default" r:id="rId25"/>
          <w:footerReference w:type="first" r:id="rId26"/>
          <w:footnotePr>
            <w:numFmt w:val="decimal"/>
          </w:footnotePr>
          <w:endnotePr/>
          <w:type w:val="nextPage"/>
          <w:pgSz w:w="16838" w:h="11906" w:orient="landscape"/>
          <w:pgMar w:top="1134" w:right="851" w:bottom="850" w:left="851" w:header="567" w:footer="567" w:gutter="0"/>
          <w:cols w:num="1" w:sep="0" w:space="1701" w:equalWidth="1"/>
          <w:docGrid w:linePitch="360"/>
        </w:sectPr>
      </w:pPr>
      <w:r/>
      <w:r/>
    </w:p>
    <w:p>
      <w:pPr>
        <w:pStyle w:val="1337"/>
        <w:spacing w:before="360" w:after="0"/>
      </w:pPr>
      <w:r/>
      <w:bookmarkStart w:id="105" w:name="_Toc230928843"/>
      <w:r/>
      <w:bookmarkStart w:id="106" w:name="_Ref130286532"/>
      <w:r>
        <w:t xml:space="preserve">Официальное размещение Извещения и Документации о закупке</w:t>
      </w:r>
      <w:bookmarkEnd w:id="105"/>
      <w:r/>
      <w:bookmarkEnd w:id="106"/>
      <w:r/>
      <w:r/>
    </w:p>
    <w:p>
      <w:pPr>
        <w:pStyle w:val="1338"/>
        <w:spacing w:before="120" w:after="0"/>
      </w:pPr>
      <w:r>
        <w:t xml:space="preserve">Извещение и Документация о закупке официально размещены на Официальном сайте (ЕИС) и доступны для ознакомления без взимания платы. Иные публикации не влекут для Организатора никаких последствий.</w:t>
      </w:r>
      <w:r/>
    </w:p>
    <w:p>
      <w:pPr>
        <w:pStyle w:val="1338"/>
        <w:spacing w:before="0" w:after="0"/>
      </w:pPr>
      <w:r>
        <w:t xml:space="preserve">При возникновении технических или иных неполадок, блокирующих досту</w:t>
      </w:r>
      <w:r>
        <w:t xml:space="preserve">п к Официальному сайту (ЕИС) в течение более чем 1 (одного) рабочего дня, информация размещается на официальном сайте Заказчика с последующим размещением ее на Официальном сайте (ЕИС) в течение 1 (одного) рабочего дня со дня устранения указанных неполадок.</w:t>
      </w:r>
      <w:r/>
    </w:p>
    <w:p>
      <w:pPr>
        <w:pStyle w:val="1338"/>
        <w:spacing w:before="0" w:after="0"/>
      </w:pPr>
      <w:r/>
      <w:bookmarkStart w:id="107" w:name="_Ref125362785"/>
      <w:r>
        <w:t xml:space="preserve">Участники могут получить Документацию о закупке также через ЭП. Порядок получения информации через ЭП определяется Регламентом ЭП, с использованием которой проводится закупка.</w:t>
      </w:r>
      <w:bookmarkEnd w:id="107"/>
      <w:r/>
      <w:r/>
    </w:p>
    <w:p>
      <w:pPr>
        <w:pStyle w:val="1338"/>
        <w:spacing w:before="0" w:after="0"/>
      </w:pPr>
      <w:r>
        <w:t xml:space="preserve">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w:t>
      </w:r>
      <w:r/>
    </w:p>
    <w:p>
      <w:pPr>
        <w:pStyle w:val="1337"/>
        <w:spacing w:before="360" w:after="0"/>
      </w:pPr>
      <w:r/>
      <w:bookmarkStart w:id="108" w:name="_Toc230928844"/>
      <w:r/>
      <w:bookmarkStart w:id="109" w:name="_Ref130394681"/>
      <w:r/>
      <w:bookmarkStart w:id="110" w:name="_Ref130281199"/>
      <w:r>
        <w:t xml:space="preserve">Подготовка заявки</w:t>
      </w:r>
      <w:bookmarkEnd w:id="108"/>
      <w:r/>
      <w:bookmarkEnd w:id="109"/>
      <w:r/>
      <w:bookmarkEnd w:id="110"/>
      <w:r/>
      <w:r/>
    </w:p>
    <w:p>
      <w:pPr>
        <w:pStyle w:val="1338"/>
        <w:spacing w:before="120" w:after="0"/>
      </w:pPr>
      <w:r>
        <w:t xml:space="preserve">Участник должен подготовить заявку с учетом требований Документации о закупке.</w:t>
      </w:r>
      <w:r/>
    </w:p>
    <w:p>
      <w:pPr>
        <w:pStyle w:val="1338"/>
        <w:spacing w:before="0" w:after="0"/>
      </w:pPr>
      <w:r>
        <w:t xml:space="preserve">Участник самостоятельно несет все расходы, связанные с подготовкой и подачей заявки (подраздел </w:t>
      </w:r>
      <w:r>
        <w:fldChar w:fldCharType="begin"/>
      </w:r>
      <w:r>
        <w:instrText xml:space="preserve"> REF _Ref125362119 \r \h </w:instrText>
      </w:r>
      <w:r>
        <w:fldChar w:fldCharType="separate"/>
      </w:r>
      <w:r>
        <w:t xml:space="preserve">4.6</w:t>
      </w:r>
      <w:r>
        <w:fldChar w:fldCharType="end"/>
      </w:r>
      <w:r>
        <w:t xml:space="preserve">), а Организатор (Заказчик) по этим расходам не отвеч</w:t>
      </w:r>
      <w:r>
        <w:t xml:space="preserve">ает и не имеет обязательств (в том числе по возврату Участнику материалов и документов, входящих в состав его заявки), независимо от хода и результатов закупки, за исключением случаев, прямо предусмотренных Положением о закупке или Документацией о закупке.</w:t>
      </w:r>
      <w:r/>
    </w:p>
    <w:p>
      <w:pPr>
        <w:pStyle w:val="1338"/>
        <w:spacing w:before="0" w:after="0"/>
      </w:pPr>
      <w:r>
        <w:t xml:space="preserve">Участник должен подготовить заявку, включающую в себя полный комплект документов согласно перечню, определенному </w:t>
      </w:r>
      <w:hyperlink w:tooltip="#Прил06_СоставЗаявки" w:anchor="Прил06_СоставЗаявки" w:history="1">
        <w:r>
          <w:rPr>
            <w:rStyle w:val="1311"/>
          </w:rPr>
          <w:t xml:space="preserve">Приложением № 6 – Состав заявки</w:t>
        </w:r>
      </w:hyperlink>
      <w:r>
        <w:t xml:space="preserve">. Образцы форм документов, включаемых в состав заявки, а также инструкции по их подготовке, приведены в </w:t>
      </w:r>
      <w:hyperlink w:tooltip="#Прил04_ФормыЗаявки" w:anchor="Прил04_ФормыЗаявки" w:history="1">
        <w:r>
          <w:rPr>
            <w:rStyle w:val="1311"/>
          </w:rPr>
          <w:t xml:space="preserve">Приложение № 4</w:t>
        </w:r>
      </w:hyperlink>
      <w:r>
        <w:t xml:space="preserve">.</w:t>
      </w:r>
      <w:r/>
    </w:p>
    <w:p>
      <w:pPr>
        <w:pStyle w:val="1338"/>
        <w:spacing w:before="0" w:after="0"/>
      </w:pPr>
      <w:r/>
      <w:bookmarkStart w:id="111" w:name="_Ref125365866"/>
      <w:r/>
      <w:bookmarkStart w:id="112" w:name="_Ref130394854"/>
      <w:r>
        <w:t xml:space="preserve">Участник имеет право подать только одну заявку. При этом не допускается подача заявки</w:t>
      </w:r>
      <w:r>
        <w:t xml:space="preserve"> на часть лота по отдельным видам или объемам продукции. В случае нарушения этого требования (при получении заявки на часть лота и (или) при получении двух и более заявок от одного Участника в рамках одного лота) все поданные им заявки подлежат отклонению.</w:t>
      </w:r>
      <w:bookmarkEnd w:id="111"/>
      <w:r/>
      <w:bookmarkEnd w:id="112"/>
      <w:r/>
      <w:r/>
    </w:p>
    <w:p>
      <w:pPr>
        <w:pStyle w:val="1338"/>
        <w:spacing w:before="0" w:after="0"/>
      </w:pPr>
      <w:r>
        <w:t xml:space="preserve">Заявка должна быть действительна в течение срока проведения закупки и до истечения срока, отведенного на заключение Договора (пункт </w:t>
      </w:r>
      <w:r>
        <w:fldChar w:fldCharType="begin"/>
      </w:r>
      <w:r>
        <w:instrText xml:space="preserve"> REF _Ref130293821 \r \h </w:instrText>
      </w:r>
      <w:r>
        <w:fldChar w:fldCharType="separate"/>
      </w:r>
      <w:r>
        <w:t xml:space="preserve">5.2.1</w:t>
      </w:r>
      <w:r>
        <w:fldChar w:fldCharType="end"/>
      </w:r>
      <w:r>
        <w:t xml:space="preserve">). В любом случае этот срок должен быть не менее чем 90 (девяносто) календарных дней с даты окончания срока подачи заявок (подраздел </w:t>
      </w:r>
      <w:r>
        <w:fldChar w:fldCharType="begin"/>
      </w:r>
      <w:r>
        <w:instrText xml:space="preserve"> REF _Ref125359973 \r \h </w:instrText>
      </w:r>
      <w:r>
        <w:fldChar w:fldCharType="separate"/>
      </w:r>
      <w:r>
        <w:t xml:space="preserve">1.2</w:t>
      </w:r>
      <w:r>
        <w:fldChar w:fldCharType="end"/>
      </w:r>
      <w:r>
        <w:t xml:space="preserve">). Указание меньшего срока действия заявки в Письме о подаче оферты (форма 2) (</w:t>
      </w:r>
      <w:hyperlink w:tooltip="#Прил04_ФормыЗаявки" w:anchor="Прил04_ФормыЗаявки" w:history="1">
        <w:r>
          <w:rPr>
            <w:rStyle w:val="1311"/>
          </w:rPr>
          <w:t xml:space="preserve">Приложение № 4</w:t>
        </w:r>
      </w:hyperlink>
      <w:r>
        <w:t xml:space="preserve">) может служить основанием для отклонения заявки.</w:t>
      </w:r>
      <w:r/>
    </w:p>
    <w:p>
      <w:pPr>
        <w:pStyle w:val="1338"/>
        <w:spacing w:before="0" w:after="0"/>
      </w:pPr>
      <w:r>
        <w:t xml:space="preserve">Все документы, входящие в состав заявки, должны быть подготовлены на русском языке. Исключение составляют документы, оригиналы которых выданы Участнику тр</w:t>
      </w:r>
      <w:r>
        <w:t xml:space="preserve">етьими лицами на ином языке: они могут быть представлены на языке оригинала при условии, что к ним приложен перевод этих документов на русский язык (в специально оговоренных случаях – с апостилем согласно Гаагской конвенции 1961 года). Наличие противоречий</w:t>
      </w:r>
      <w:r>
        <w:t xml:space="preserve">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 Организатор вправе не рассматривать документы, не переведенные на русский язык.</w:t>
      </w:r>
      <w:r/>
    </w:p>
    <w:p>
      <w:pPr>
        <w:pStyle w:val="1338"/>
        <w:spacing w:before="0" w:after="0"/>
      </w:pPr>
      <w:r>
        <w:t xml:space="preserve">Все суммы</w:t>
      </w:r>
      <w:r>
        <w:t xml:space="preserve"> денежных средств в документах, входящих в состав заявки, должны быть выражены в российских рублях. Исключение составляют документы, оригиналы которых выданы Участнику третьими лицами с выражением сумм денежных средств в иных валютах: они могут быть предст</w:t>
      </w:r>
      <w:r>
        <w:t xml:space="preserve">авлены в валюте оригинала при условии, что к ним будут приложены комментарии с переводом этих сумм в российские рубли (по официальному курсу валюты, установленному Центральным банком Российской Федерации на дату выдачи документа, с указанием такого курса).</w:t>
      </w:r>
      <w:r/>
    </w:p>
    <w:p>
      <w:pPr>
        <w:pStyle w:val="1338"/>
        <w:spacing w:before="0" w:after="0"/>
      </w:pPr>
      <w:r/>
      <w:bookmarkStart w:id="113" w:name="_Ref125370708"/>
      <w:r/>
      <w:bookmarkStart w:id="114" w:name="_Ref125370700"/>
      <w:r/>
      <w:bookmarkEnd w:id="113"/>
      <w:r/>
      <w:bookmarkEnd w:id="114"/>
      <w:r>
        <w:t xml:space="preserve">Итоговая стоимость заявки (цена Договора) без учета НДС не должна превышать установленную Заказчиком НМЦ (подраздел </w:t>
      </w:r>
      <w:r>
        <w:fldChar w:fldCharType="begin"/>
      </w:r>
      <w:r>
        <w:instrText xml:space="preserve"> REF _Ref125359973 \r \h </w:instrText>
      </w:r>
      <w:r>
        <w:fldChar w:fldCharType="separate"/>
      </w:r>
      <w:r>
        <w:t xml:space="preserve">1.2</w:t>
      </w:r>
      <w:r>
        <w:fldChar w:fldCharType="end"/>
      </w:r>
      <w:r>
        <w:t xml:space="preserve">), в противном случае заявка будет отклонена.</w:t>
      </w:r>
      <w:r/>
    </w:p>
    <w:p>
      <w:pPr>
        <w:pStyle w:val="1338"/>
        <w:spacing w:before="0" w:after="0"/>
      </w:pPr>
      <w:r>
        <w:t xml:space="preserve">Итоговая стоимость заявки (цена Договора) должна включать в себя сумму всех расходов, предусмотренных </w:t>
      </w:r>
      <w:hyperlink w:tooltip="#Прил01_ТехТребования" w:anchor="Прил01_ТехТребования" w:history="1">
        <w:r>
          <w:rPr>
            <w:rStyle w:val="1311"/>
          </w:rPr>
          <w:t xml:space="preserve">Техническими требованиями (Приложение № 1)</w:t>
        </w:r>
      </w:hyperlink>
      <w:r>
        <w:t xml:space="preserve"> и </w:t>
      </w:r>
      <w:hyperlink w:tooltip="#Прил02_ПроектДоговора" w:anchor="Прил02_ПроектДоговора" w:history="1">
        <w:r>
          <w:rPr>
            <w:rStyle w:val="1311"/>
          </w:rPr>
          <w:t xml:space="preserve">Проектом договора (Приложение № 2)</w:t>
        </w:r>
      </w:hyperlink>
      <w:r>
        <w:t xml:space="preserve">, а также сумму налогов (</w:t>
      </w:r>
      <w:r>
        <w:rPr>
          <w:rFonts w:cs="Times New Roman"/>
        </w:rPr>
        <w:t xml:space="preserve">за исключением НДС, в случае его уплаты)</w:t>
      </w:r>
      <w:r>
        <w:t xml:space="preserve"> и других обязательных платеже</w:t>
      </w:r>
      <w:r>
        <w:t xml:space="preserve">й, подлежащих уплате в соответствии с нормами законодательства (если иное не установлено Документацией о закупке). При этом сумма НДС (в случае его уплаты) выделяется отдельно и не входит в итоговую стоимость заявки Участника, являющегося плательщиком НДС.</w:t>
      </w:r>
      <w:r/>
    </w:p>
    <w:p>
      <w:pPr>
        <w:pStyle w:val="1338"/>
        <w:spacing w:before="0" w:after="0"/>
      </w:pPr>
      <w:r/>
      <w:bookmarkStart w:id="115" w:name="_Ref164248735"/>
      <w:r/>
      <w:bookmarkStart w:id="116" w:name="_Ref125370708_Копия_1"/>
      <w:r/>
      <w:bookmarkStart w:id="117" w:name="_Ref125370700_Копия_1"/>
      <w:r/>
      <w:bookmarkEnd w:id="116"/>
      <w:r/>
      <w:bookmarkEnd w:id="117"/>
      <w:r>
        <w:t xml:space="preserve">Нормы настоящего пункта применяются только, если подразделом </w:t>
      </w:r>
      <w:r>
        <w:fldChar w:fldCharType="begin"/>
      </w:r>
      <w:r>
        <w:instrText xml:space="preserve"> REF _Ref125359973 \r \h </w:instrText>
      </w:r>
      <w:r>
        <w:fldChar w:fldCharType="separate"/>
      </w:r>
      <w:r>
        <w:t xml:space="preserve">1.2</w:t>
      </w:r>
      <w:r>
        <w:fldChar w:fldCharType="end"/>
      </w:r>
      <w:r>
        <w:t xml:space="preserve"> в части требований к описанию продукции предусмотрено предоставление Участником в составе заявки Технического предложения, подготовленного в соответствии с установленной формой (форма 4; </w:t>
      </w:r>
      <w:hyperlink w:tooltip="#Прил04_ФормыЗаявки" w:anchor="Прил04_ФормыЗаявки" w:history="1">
        <w:r>
          <w:rPr>
            <w:rStyle w:val="1311"/>
          </w:rPr>
          <w:t xml:space="preserve">Приложение № 4</w:t>
        </w:r>
      </w:hyperlink>
      <w:r>
        <w:t xml:space="preserve">), в виде согласия (декларации) на поставку продукции на условиях, указанных в Документации о закупке, в том числе в </w:t>
      </w:r>
      <w:hyperlink w:tooltip="#Прил01_ТехТребования" w:anchor="Прил01_ТехТребования" w:history="1">
        <w:r>
          <w:rPr>
            <w:rStyle w:val="1311"/>
          </w:rPr>
          <w:t xml:space="preserve">Технических требованиях (Приложение № 1)</w:t>
        </w:r>
      </w:hyperlink>
      <w:r>
        <w:t xml:space="preserve">, и не подлежащих изменению по результатам проведения закупки (без подробных предложений). В случае нарушения Участником требований к описанию продукции Организатор вправе отклонить заявку такого Участника от дальнейшего участия в закупке.</w:t>
      </w:r>
      <w:bookmarkEnd w:id="115"/>
      <w:r/>
      <w:r/>
    </w:p>
    <w:p>
      <w:pPr>
        <w:pStyle w:val="1338"/>
        <w:spacing w:before="0" w:after="0"/>
      </w:pPr>
      <w:r/>
      <w:bookmarkStart w:id="118" w:name="_Ref130379863"/>
      <w:r>
        <w:t xml:space="preserve">Нормы настоящего пункта и пунктов </w:t>
      </w:r>
      <w:r>
        <w:fldChar w:fldCharType="begin"/>
      </w:r>
      <w:r>
        <w:instrText xml:space="preserve"> REF _Ref164248775 \r \h </w:instrText>
      </w:r>
      <w:r>
        <w:fldChar w:fldCharType="separate"/>
      </w:r>
      <w:r>
        <w:t xml:space="preserve">4.3.12</w:t>
      </w:r>
      <w:r>
        <w:fldChar w:fldCharType="end"/>
      </w:r>
      <w:r>
        <w:t xml:space="preserve"> – </w:t>
      </w:r>
      <w:r>
        <w:fldChar w:fldCharType="begin"/>
      </w:r>
      <w:r>
        <w:instrText xml:space="preserve"> REF _Ref130455500 \r \h </w:instrText>
      </w:r>
      <w:r>
        <w:fldChar w:fldCharType="separate"/>
      </w:r>
      <w:r>
        <w:t xml:space="preserve">4.3.15</w:t>
      </w:r>
      <w:r>
        <w:fldChar w:fldCharType="end"/>
      </w:r>
      <w:r>
        <w:t xml:space="preserve"> применяются только, если подразделом </w:t>
      </w:r>
      <w:r>
        <w:fldChar w:fldCharType="begin"/>
      </w:r>
      <w:r>
        <w:instrText xml:space="preserve"> REF _Ref125359973 \r \h </w:instrText>
      </w:r>
      <w:r>
        <w:fldChar w:fldCharType="separate"/>
      </w:r>
      <w:r>
        <w:t xml:space="preserve">1.2</w:t>
      </w:r>
      <w:r>
        <w:fldChar w:fldCharType="end"/>
      </w:r>
      <w:r>
        <w:t xml:space="preserve"> в части требований к описанию продукции предусмотрено предоставление Участником в составе заявки Технического предложения, подготовленного в соответствии с установленной формой (форма 4; </w:t>
      </w:r>
      <w:hyperlink w:tooltip="#Прил04_ФормыЗаявки" w:anchor="Прил04_ФормыЗаявки" w:history="1">
        <w:r>
          <w:rPr>
            <w:rStyle w:val="1311"/>
          </w:rPr>
          <w:t xml:space="preserve">Приложение № 4</w:t>
        </w:r>
      </w:hyperlink>
      <w:r>
        <w:t xml:space="preserve">), в виде подробного предложения в отношении поставляемой продукции на условиях, указанных в Документации о закупке, в том числе в </w:t>
      </w:r>
      <w:hyperlink w:tooltip="#Прил01_ТехТребования" w:anchor="Прил01_ТехТребования" w:history="1">
        <w:r>
          <w:rPr>
            <w:rStyle w:val="1311"/>
          </w:rPr>
          <w:t xml:space="preserve">Технических требованиях (Приложение № 1)</w:t>
        </w:r>
      </w:hyperlink>
      <w:r>
        <w:t xml:space="preserve">.</w:t>
      </w:r>
      <w:bookmarkEnd w:id="118"/>
      <w:r/>
      <w:r/>
    </w:p>
    <w:p>
      <w:pPr>
        <w:pStyle w:val="1338"/>
        <w:spacing w:before="0" w:after="0"/>
      </w:pPr>
      <w:r/>
      <w:bookmarkStart w:id="119" w:name="_Ref164248775"/>
      <w:r>
        <w:t xml:space="preserve">При описании продукции Участник обязан подтвердить соответствие поставляемой продукции требованиям Документации о закупке, в том числе требованиям, установленным в </w:t>
      </w:r>
      <w:hyperlink w:tooltip="#Прил01_ТехТребования" w:anchor="Прил01_ТехТребования" w:history="1">
        <w:r>
          <w:rPr>
            <w:rStyle w:val="1311"/>
          </w:rPr>
          <w:t xml:space="preserve">Технических требованиях (Приложение № 1)</w:t>
        </w:r>
      </w:hyperlink>
      <w:r>
        <w:t xml:space="preserve">, в отношении всех показателей, которые в ней установлены. При этом должны указываться точные и не допускающие двусмысленного толкования показатели.</w:t>
      </w:r>
      <w:bookmarkEnd w:id="119"/>
      <w:r/>
      <w:r/>
    </w:p>
    <w:p>
      <w:pPr>
        <w:pStyle w:val="1338"/>
        <w:spacing w:before="0" w:after="0"/>
      </w:pPr>
      <w:r>
        <w:t xml:space="preserve">Если в </w:t>
      </w:r>
      <w:hyperlink w:tooltip="#Прил01_ТехТребования" w:anchor="Прил01_ТехТребования" w:history="1">
        <w:r>
          <w:rPr>
            <w:rStyle w:val="1311"/>
          </w:rPr>
          <w:t xml:space="preserve">Технических требованиях (Приложение № 1)</w:t>
        </w:r>
      </w:hyperlink>
      <w:r>
        <w:t xml:space="preserve"> указаны товарные знаки, знаки обслуживания, фирменные наименования, патенты, полезные модели, промышленные образцы, наименование страны происхождения товара или наименован</w:t>
      </w:r>
      <w:r>
        <w:t xml:space="preserve">ие производителя, сопровождаемые словами «или эквивалент», и Участник предлагает продукцию, являющуюся эквивалентом требуемой, то он при описании продукции обязан подтвердить соответствие предлагаемой продукции показателям эквивалентности, установленным в </w:t>
      </w:r>
      <w:hyperlink w:tooltip="#Прил01_ТехТребования" w:anchor="Прил01_ТехТребования" w:history="1">
        <w:r>
          <w:rPr>
            <w:rStyle w:val="1311"/>
          </w:rPr>
          <w:t xml:space="preserve">Технических требованиях (Приложение № 1)</w:t>
        </w:r>
      </w:hyperlink>
      <w:r>
        <w:t xml:space="preserve">.</w:t>
      </w:r>
      <w:r/>
    </w:p>
    <w:p>
      <w:pPr>
        <w:pStyle w:val="1338"/>
        <w:spacing w:before="0" w:after="0"/>
      </w:pPr>
      <w:r/>
      <w:bookmarkStart w:id="120" w:name="_Ref130379876"/>
      <w:r>
        <w:t xml:space="preserve">При описании продукции Участник должен использовать общеизвестные (стандартные) показатели, термины и сокращения в соответствии с законодательством и </w:t>
      </w:r>
      <w:hyperlink w:tooltip="#Прил01_ТехТребования" w:anchor="Прил01_ТехТребования" w:history="1">
        <w:r>
          <w:rPr>
            <w:rStyle w:val="1311"/>
          </w:rPr>
          <w:t xml:space="preserve">Техническими требованиями (Приложение № 1)</w:t>
        </w:r>
      </w:hyperlink>
      <w:r>
        <w:t xml:space="preserve">.</w:t>
      </w:r>
      <w:bookmarkEnd w:id="120"/>
      <w:r/>
      <w:r/>
    </w:p>
    <w:p>
      <w:pPr>
        <w:pStyle w:val="1338"/>
        <w:spacing w:before="0" w:after="0"/>
      </w:pPr>
      <w:r/>
      <w:bookmarkStart w:id="121" w:name="_Ref130455500"/>
      <w:r>
        <w:t xml:space="preserve">В случае нарушения Участником требований к описанию продукции (пункты </w:t>
      </w:r>
      <w:r>
        <w:fldChar w:fldCharType="begin"/>
      </w:r>
      <w:r>
        <w:instrText xml:space="preserve"> REF _Ref130379863 \r \h </w:instrText>
      </w:r>
      <w:r>
        <w:fldChar w:fldCharType="separate"/>
      </w:r>
      <w:r>
        <w:t xml:space="preserve">4.3.11</w:t>
      </w:r>
      <w:r>
        <w:fldChar w:fldCharType="end"/>
      </w:r>
      <w:r>
        <w:t xml:space="preserve"> – </w:t>
      </w:r>
      <w:r>
        <w:fldChar w:fldCharType="begin"/>
      </w:r>
      <w:r>
        <w:instrText xml:space="preserve"> REF _Ref130379876 \r \h </w:instrText>
      </w:r>
      <w:r>
        <w:fldChar w:fldCharType="separate"/>
      </w:r>
      <w:r>
        <w:t xml:space="preserve">4.3.14</w:t>
      </w:r>
      <w:r>
        <w:fldChar w:fldCharType="end"/>
      </w:r>
      <w:r>
        <w:t xml:space="preserve">) Организатор вправе отклонить заявку такого Участника от дальнейшего участия в закупке.</w:t>
      </w:r>
      <w:bookmarkEnd w:id="121"/>
      <w:r/>
      <w:r/>
    </w:p>
    <w:p>
      <w:pPr>
        <w:pStyle w:val="1338"/>
        <w:keepNext/>
        <w:spacing w:before="0" w:after="0"/>
      </w:pPr>
      <w:r>
        <w:t xml:space="preserve">При подготовке заявки необходимо также учитывать требования в отношении применения законодательства о национальном режиме (подраздел </w:t>
      </w:r>
      <w:r>
        <w:fldChar w:fldCharType="begin"/>
      </w:r>
      <w:r>
        <w:instrText xml:space="preserve"> REF _Ref125359973 \r \h </w:instrText>
      </w:r>
      <w:r>
        <w:fldChar w:fldCharType="separate"/>
      </w:r>
      <w:r>
        <w:t xml:space="preserve">1.2</w:t>
      </w:r>
      <w:r>
        <w:fldChar w:fldCharType="end"/>
      </w:r>
      <w:r>
        <w:t xml:space="preserve">).</w:t>
      </w:r>
      <w:r/>
    </w:p>
    <w:p>
      <w:pPr>
        <w:pStyle w:val="1338"/>
        <w:keepNext/>
        <w:spacing w:before="0" w:after="0"/>
      </w:pPr>
      <w:r>
        <w:t xml:space="preserve">Документы, входящие в заявку, не должны содержать недостоверные сведения или намеренно искаженную информацию. Также должны отсутствовать:</w:t>
      </w:r>
      <w:r/>
    </w:p>
    <w:p>
      <w:pPr>
        <w:pStyle w:val="1339"/>
        <w:spacing w:before="120" w:after="0"/>
      </w:pPr>
      <w:r>
        <w:t xml:space="preserve">внутренние противоречия между различными частями и (или) документами заявки, в том числе по тексту внутри одного документа;</w:t>
      </w:r>
      <w:r/>
    </w:p>
    <w:p>
      <w:pPr>
        <w:pStyle w:val="1339"/>
        <w:spacing w:before="0" w:after="0"/>
      </w:pPr>
      <w:r/>
      <w:bookmarkStart w:id="122" w:name="_Ref125714384"/>
      <w:r/>
      <w:bookmarkStart w:id="123" w:name="_Ref125370398"/>
      <w:r>
        <w:t xml:space="preserve">противоречия между документами заявки и сведениями, указанными Участником в структурированных формах на ЭП.</w:t>
      </w:r>
      <w:bookmarkEnd w:id="122"/>
      <w:r/>
      <w:bookmarkEnd w:id="123"/>
      <w:r/>
      <w:r/>
    </w:p>
    <w:p>
      <w:pPr>
        <w:pStyle w:val="1338"/>
        <w:spacing w:before="120" w:after="0"/>
      </w:pPr>
      <w:r>
        <w:t xml:space="preserve">Представленные в соста</w:t>
      </w:r>
      <w:r>
        <w:t xml:space="preserve">ве заявки документы, оформленные / выданные государственными, лицензирующими, сертификационными, аккредитационными органами и (или) саморегулируемыми организациями, должны соответствовать императивным требованиям (при наличии) законодательства в отношении:</w:t>
      </w:r>
      <w:r/>
    </w:p>
    <w:p>
      <w:pPr>
        <w:pStyle w:val="1339"/>
        <w:spacing w:before="120" w:after="0"/>
      </w:pPr>
      <w:r>
        <w:t xml:space="preserve">полномочий таких органов / лиц на оформление этих документов;</w:t>
      </w:r>
      <w:r/>
    </w:p>
    <w:p>
      <w:pPr>
        <w:pStyle w:val="1339"/>
        <w:spacing w:before="0" w:after="0"/>
      </w:pPr>
      <w:r>
        <w:t xml:space="preserve">формы, объема и содержания этих документов.</w:t>
      </w:r>
      <w:r/>
    </w:p>
    <w:p>
      <w:pPr>
        <w:pStyle w:val="1338"/>
        <w:keepNext/>
        <w:spacing w:before="120" w:after="0"/>
      </w:pPr>
      <w:r>
        <w:t xml:space="preserve">Участник должен подготовить заявку с соблюдением следующих условий:</w:t>
      </w:r>
      <w:r/>
    </w:p>
    <w:p>
      <w:pPr>
        <w:pStyle w:val="1339"/>
        <w:spacing w:before="120" w:after="0"/>
      </w:pPr>
      <w:r>
        <w:t xml:space="preserve">документы заявки могут предоставляться как в графическом виде (в том числе в виде скан-копии; рекомендуемый формат: Portable Document Format (*.</w:t>
      </w:r>
      <w:r>
        <w:rPr>
          <w:lang w:val="en-US"/>
        </w:rPr>
        <w:t xml:space="preserve">pdf</w:t>
      </w:r>
      <w:r>
        <w:t xml:space="preserve">); так и в электронном виде (в формате Microsoft Word (*.doc</w:t>
      </w:r>
      <w:r>
        <w:rPr>
          <w:lang w:val="en-US"/>
        </w:rPr>
        <w:t xml:space="preserve">x</w:t>
      </w:r>
      <w:r>
        <w:t xml:space="preserve">), Microsoft Excel (*.xls</w:t>
      </w:r>
      <w:r>
        <w:rPr>
          <w:lang w:val="en-US"/>
        </w:rPr>
        <w:t xml:space="preserve">x</w:t>
      </w:r>
      <w:r>
        <w:t xml:space="preserve">), и других). Исключение составляют Письмо о подаче оферты, а также документы, выданные Участнику третьими л</w:t>
      </w:r>
      <w:r>
        <w:t xml:space="preserve">ицами (в том числе, бухгалтерская (финансовая) отчетность, соглашение о создании коллективного участника и т.п.), которые должны быть предоставлены только в графическом виде (в том числе в виде скан-копии; рекомендуемый формат: Portable Document Format (*.</w:t>
      </w:r>
      <w:r>
        <w:rPr>
          <w:lang w:val="en-US"/>
        </w:rPr>
        <w:t xml:space="preserve">pdf</w:t>
      </w:r>
      <w:r>
        <w:t xml:space="preserve">));</w:t>
      </w:r>
      <w:r/>
    </w:p>
    <w:p>
      <w:pPr>
        <w:pStyle w:val="1339"/>
        <w:spacing w:before="0" w:after="0"/>
      </w:pPr>
      <w:r>
        <w:t xml:space="preserve">электронные копии документов, заверенные третьей стороной,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r/>
    </w:p>
    <w:p>
      <w:pPr>
        <w:pStyle w:val="1339"/>
        <w:spacing w:before="0" w:after="0"/>
      </w:pPr>
      <w:r>
        <w:t xml:space="preserve">все файлы не должны иметь защиты от их открытия, изменения, копирования их содержимого или их печати;</w:t>
      </w:r>
      <w:r/>
    </w:p>
    <w:p>
      <w:pPr>
        <w:pStyle w:val="1339"/>
        <w:spacing w:before="0" w:after="0"/>
      </w:pPr>
      <w:r>
        <w:t xml:space="preserve">файлы электронной заявки рекомендуется именовать так, чтобы было можно идентифицировать содержание данного файла заявки (указать в названии файла содержащийся в нем документ). Каждый документ рекомендуется размещать в отдельном файле;</w:t>
      </w:r>
      <w:r/>
    </w:p>
    <w:p>
      <w:pPr>
        <w:pStyle w:val="1339"/>
        <w:spacing w:before="0" w:after="0"/>
      </w:pPr>
      <w:r>
        <w:t xml:space="preserve">если какой-либо документ представлен в нечитаемом виде, данный документ считается непредставленным.</w:t>
      </w:r>
      <w:r/>
    </w:p>
    <w:p>
      <w:pPr>
        <w:pStyle w:val="1338"/>
        <w:spacing w:before="120" w:after="0"/>
      </w:pPr>
      <w:r>
        <w:t xml:space="preserve">Никакие исправления в документах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 Участника, расположенной рядом с каждым исправлением.</w:t>
      </w:r>
      <w:r/>
    </w:p>
    <w:p>
      <w:pPr>
        <w:pStyle w:val="1337"/>
        <w:spacing w:before="360" w:after="0"/>
      </w:pPr>
      <w:r/>
      <w:bookmarkStart w:id="124" w:name="_Ref125366672"/>
      <w:r/>
      <w:bookmarkStart w:id="125" w:name="_Ref125362071"/>
      <w:r/>
      <w:bookmarkStart w:id="126" w:name="_Ref125361260"/>
      <w:r/>
      <w:bookmarkStart w:id="127" w:name="_Toc230928845"/>
      <w:r/>
      <w:bookmarkStart w:id="128" w:name="_Ref130394802"/>
      <w:r/>
      <w:bookmarkStart w:id="129" w:name="_Ref130394785"/>
      <w:r/>
      <w:bookmarkStart w:id="130" w:name="_Ref130394205"/>
      <w:r>
        <w:t xml:space="preserve">Разъяснение Документации о закупке</w:t>
      </w:r>
      <w:bookmarkEnd w:id="124"/>
      <w:r/>
      <w:bookmarkEnd w:id="125"/>
      <w:r/>
      <w:bookmarkEnd w:id="126"/>
      <w:r/>
      <w:bookmarkEnd w:id="127"/>
      <w:r/>
      <w:bookmarkEnd w:id="128"/>
      <w:r/>
      <w:bookmarkEnd w:id="129"/>
      <w:r/>
      <w:bookmarkEnd w:id="130"/>
      <w:r/>
      <w:r/>
    </w:p>
    <w:p>
      <w:pPr>
        <w:pStyle w:val="1338"/>
        <w:spacing w:before="120" w:after="0"/>
      </w:pPr>
      <w:r>
        <w:t xml:space="preserve">Участники вправе обратиться к Организатору за разъяснениями Документации о закупке.</w:t>
      </w:r>
      <w:r/>
    </w:p>
    <w:p>
      <w:pPr>
        <w:pStyle w:val="1338"/>
        <w:spacing w:before="0" w:after="0"/>
      </w:pPr>
      <w:r>
        <w:t xml:space="preserve">Запросы подаются в соответствии с Регламентами и инструкциями Оператора ЭП, опубликованными на сайте соответствующей ЭП.</w:t>
      </w:r>
      <w:r/>
    </w:p>
    <w:p>
      <w:pPr>
        <w:pStyle w:val="1338"/>
        <w:spacing w:before="0" w:after="0"/>
      </w:pPr>
      <w: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w:t>
      </w:r>
      <w:r/>
    </w:p>
    <w:p>
      <w:pPr>
        <w:pStyle w:val="1338"/>
        <w:spacing w:before="0" w:after="0"/>
      </w:pPr>
      <w: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подразделом </w:t>
      </w:r>
      <w:r>
        <w:fldChar w:fldCharType="begin"/>
      </w:r>
      <w:r>
        <w:instrText xml:space="preserve"> REF _Ref125359973 \r \h </w:instrText>
      </w:r>
      <w:r>
        <w:fldChar w:fldCharType="separate"/>
      </w:r>
      <w:r>
        <w:t xml:space="preserve">1.2</w:t>
      </w:r>
      <w:r>
        <w:fldChar w:fldCharType="end"/>
      </w:r>
      <w:r>
        <w:t xml:space="preserve">, но в любом случае не позднее чем в течение 3 (трех) рабочих дней с даты поступления такого запроса. Копия ответа размещается Организатором на ЭП.</w:t>
      </w:r>
      <w:r/>
    </w:p>
    <w:p>
      <w:pPr>
        <w:pStyle w:val="1338"/>
        <w:spacing w:before="0" w:after="0"/>
      </w:pPr>
      <w:r>
        <w:t xml:space="preserve">Организатор также вправе по собственной инициативе (без получения запросов от Участников) официально разместить разъяснения Документации о закупке.</w:t>
      </w:r>
      <w:r/>
    </w:p>
    <w:p>
      <w:pPr>
        <w:pStyle w:val="1338"/>
        <w:spacing w:before="0" w:after="0"/>
      </w:pPr>
      <w:r>
        <w:t xml:space="preserve">Разъяснения Документации о закупке носят справочный характер и не могут изменять предмет закупки и условия </w:t>
      </w:r>
      <w:hyperlink w:tooltip="#Прил02_ПроектДоговора" w:anchor="Прил02_ПроектДоговора" w:history="1">
        <w:r>
          <w:rPr>
            <w:rStyle w:val="1311"/>
          </w:rPr>
          <w:t xml:space="preserve">Проекта договора (Приложения № 2)</w:t>
        </w:r>
      </w:hyperlink>
      <w:r>
        <w:rPr>
          <w:rStyle w:val="1311"/>
        </w:rPr>
        <w:t xml:space="preserve">,</w:t>
      </w:r>
      <w:r>
        <w:t xml:space="preserve"> </w:t>
      </w:r>
      <w:r>
        <w:t xml:space="preserve">в противном случае вносятся изменения в Документацию о закупке. При этом Участники обязаны учитывать разъяснения Организатора при подготовке своих заявок. Все риски и последствия за подачу заявки без учета официально размещенных разъяснений несет Участник.</w:t>
      </w:r>
      <w:r/>
    </w:p>
    <w:p>
      <w:pPr>
        <w:pStyle w:val="1338"/>
        <w:spacing w:before="0" w:after="0"/>
      </w:pPr>
      <w:r>
        <w:t xml:space="preserve">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r/>
    </w:p>
    <w:p>
      <w:pPr>
        <w:pStyle w:val="1337"/>
        <w:spacing w:before="360" w:after="0"/>
      </w:pPr>
      <w:r/>
      <w:bookmarkStart w:id="131" w:name="_Toc230928846"/>
      <w:r/>
      <w:bookmarkStart w:id="132" w:name="_Ref125364404"/>
      <w:r/>
      <w:bookmarkStart w:id="133" w:name="_Ref125363891"/>
      <w:r/>
      <w:bookmarkStart w:id="134" w:name="_Ref125362076"/>
      <w:r>
        <w:t xml:space="preserve">Изменения Извещения и (или) Документации о закупке</w:t>
      </w:r>
      <w:bookmarkEnd w:id="131"/>
      <w:r/>
      <w:bookmarkEnd w:id="132"/>
      <w:r/>
      <w:bookmarkEnd w:id="133"/>
      <w:r/>
      <w:bookmarkEnd w:id="134"/>
      <w:r/>
      <w:r/>
    </w:p>
    <w:p>
      <w:pPr>
        <w:pStyle w:val="1338"/>
        <w:spacing w:before="120" w:after="0"/>
      </w:pPr>
      <w:r>
        <w:t xml:space="preserve">Организатор в любой момент до окончания срока подачи заявок (подраздел </w:t>
      </w:r>
      <w:r>
        <w:fldChar w:fldCharType="begin"/>
      </w:r>
      <w:r>
        <w:instrText xml:space="preserve"> REF _Ref125359973 \r \h </w:instrText>
      </w:r>
      <w:r>
        <w:fldChar w:fldCharType="separate"/>
      </w:r>
      <w:r>
        <w:t xml:space="preserve">1.2</w:t>
      </w:r>
      <w:r>
        <w:fldChar w:fldCharType="end"/>
      </w:r>
      <w:r>
        <w:t xml:space="preserve">) вправе внести изменения в Извещение и (или) Документацию о закупке. При этом официальному размещению подлежит обновленная редакция Извещения и (или) Документации о закупке, а также перечень внесенных изменений в них.</w:t>
      </w:r>
      <w:r/>
    </w:p>
    <w:p>
      <w:pPr>
        <w:pStyle w:val="1338"/>
        <w:spacing w:before="0" w:after="0"/>
      </w:pPr>
      <w:r/>
      <w:bookmarkStart w:id="135" w:name="_Ref125550844"/>
      <w:r>
        <w:t xml:space="preserve">После окончания срока подачи заявок допускается изменение только в части установленных Документацией о закупке дат рассмотрения заявок и подведения итогов закупки (подраздел </w:t>
      </w:r>
      <w:r>
        <w:fldChar w:fldCharType="begin"/>
      </w:r>
      <w:r>
        <w:instrText xml:space="preserve"> REF _Ref125359973 \r \h </w:instrText>
      </w:r>
      <w:r>
        <w:fldChar w:fldCharType="separate"/>
      </w:r>
      <w:r>
        <w:t xml:space="preserve">1.2</w:t>
      </w:r>
      <w:r>
        <w:fldChar w:fldCharType="end"/>
      </w:r>
      <w:r>
        <w:t xml:space="preserve">) в пределах срока действия заявок и с уведомлением Участников, подавших заявки.</w:t>
      </w:r>
      <w:bookmarkEnd w:id="135"/>
      <w:r/>
      <w:r/>
    </w:p>
    <w:p>
      <w:pPr>
        <w:pStyle w:val="1338"/>
        <w:spacing w:before="0" w:after="0"/>
      </w:pPr>
      <w:r>
        <w:t xml:space="preserve">Текст изменений офици</w:t>
      </w:r>
      <w:r>
        <w:t xml:space="preserve">ально размещается в течение 3 (трех) календарных дней со дня принятия решения о внесении указанных изменений. Все Участники, официально получившие Документацию о закупке через ЭП, получат соответствующие уведомления в порядке, установленном Регламентом ЭП.</w:t>
      </w:r>
      <w:r/>
    </w:p>
    <w:p>
      <w:pPr>
        <w:pStyle w:val="1338"/>
        <w:spacing w:before="0" w:after="0"/>
      </w:pPr>
      <w:r/>
      <w:bookmarkStart w:id="136" w:name="_Hlk135643673"/>
      <w:r>
        <w:t xml:space="preserve">При внесении изменений в Документацию о закупке (за исключением указанного в пункте </w:t>
      </w:r>
      <w:r>
        <w:fldChar w:fldCharType="begin"/>
      </w:r>
      <w:r>
        <w:instrText xml:space="preserve"> REF _Ref125550844 \r \h </w:instrText>
      </w:r>
      <w:r>
        <w:fldChar w:fldCharType="separate"/>
      </w:r>
      <w:r>
        <w:t xml:space="preserve">4.5.2</w:t>
      </w:r>
      <w:r>
        <w:fldChar w:fldCharType="end"/>
      </w:r>
      <w:r>
        <w:t xml:space="preserve">), срок подачи заявок</w:t>
      </w:r>
      <w:r>
        <w:t xml:space="preserve"> будет продлен таким образом, чтобы со дня официального размещения таких изменений до даты окончания подачи заявок оставалось не менее половины от минимального срока подачи заявок, установленного в Положении о закупке для данного способа, а именно не менее</w:t>
      </w:r>
      <w:bookmarkEnd w:id="136"/>
      <w:r>
        <w:t xml:space="preserve"> 8 (восьми) календарных дней.</w:t>
      </w:r>
      <w:r/>
    </w:p>
    <w:p>
      <w:pPr>
        <w:pStyle w:val="1338"/>
        <w:spacing w:before="0" w:after="0"/>
      </w:pPr>
      <w:r>
        <w:t xml:space="preserve">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r/>
    </w:p>
    <w:p>
      <w:pPr>
        <w:pStyle w:val="1337"/>
        <w:spacing w:before="360" w:after="0"/>
      </w:pPr>
      <w:r/>
      <w:bookmarkStart w:id="137" w:name="_Toc230928847"/>
      <w:r/>
      <w:bookmarkStart w:id="138" w:name="_Ref125362119"/>
      <w:r>
        <w:t xml:space="preserve">Подача заявок и их прием</w:t>
      </w:r>
      <w:bookmarkEnd w:id="137"/>
      <w:r/>
      <w:bookmarkEnd w:id="138"/>
      <w:r/>
      <w:r/>
    </w:p>
    <w:p>
      <w:pPr>
        <w:pStyle w:val="1338"/>
        <w:spacing w:before="120" w:after="0"/>
      </w:pPr>
      <w:r>
        <w:t xml:space="preserve">Участник вправе подать одну подготовленную заявку на участие в закупке в любое время начиная с даты официального размещения Извещения и до окончания срока подачи заявок (подраздел </w:t>
      </w:r>
      <w:r>
        <w:fldChar w:fldCharType="begin"/>
      </w:r>
      <w:r>
        <w:instrText xml:space="preserve"> REF _Ref125359973 \r \h </w:instrText>
      </w:r>
      <w:r>
        <w:fldChar w:fldCharType="separate"/>
      </w:r>
      <w:r>
        <w:t xml:space="preserve">1.2</w:t>
      </w:r>
      <w:r>
        <w:fldChar w:fldCharType="end"/>
      </w:r>
      <w:r>
        <w:t xml:space="preserve">). Заявки, поданные позднее установленного срока, не могут быть приняты Организатором, независимо от причин опоздания.</w:t>
      </w:r>
      <w:r/>
    </w:p>
    <w:p>
      <w:pPr>
        <w:pStyle w:val="1338"/>
        <w:spacing w:before="0" w:after="0"/>
      </w:pPr>
      <w:r>
        <w:t xml:space="preserve">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 и Документации о закупке (включая все приложения к ней).</w:t>
      </w:r>
      <w:r/>
    </w:p>
    <w:p>
      <w:pPr>
        <w:pStyle w:val="1338"/>
        <w:spacing w:before="0" w:after="0"/>
      </w:pPr>
      <w:r>
        <w:t xml:space="preserve">Заявка должна быть </w:t>
      </w:r>
      <w:r>
        <w:t xml:space="preserve">подготовлена в форме электронного документа и подана с использованием функционала ЭП в доступном для прочтения формате. При этом Участник должен сканировать документы после того, как они будут оформлены в соответствии с требованиями Документации о закупке.</w:t>
      </w:r>
      <w:r/>
    </w:p>
    <w:p>
      <w:pPr>
        <w:pStyle w:val="1338"/>
        <w:spacing w:before="0" w:after="0"/>
      </w:pPr>
      <w:r>
        <w:t xml:space="preserve">Заявка должна быть подписана усиленной квалифицированной электронной подписью лица, которое является уполномоченным представителем Участника.</w:t>
      </w:r>
      <w:r/>
    </w:p>
    <w:p>
      <w:pPr>
        <w:pStyle w:val="1338"/>
        <w:spacing w:before="0" w:after="0"/>
      </w:pPr>
      <w:r>
        <w:t xml:space="preserve">Правила подачи заявок также определяются Регламентом ЭП. Заявки, поданные через ЭП, дублировать в адрес Организатора по почте, электронной почте и другими способами не требуется. Заявки, полученные Организатором не через ЭП, не рассматриваются.</w:t>
      </w:r>
      <w:r/>
    </w:p>
    <w:p>
      <w:pPr>
        <w:pStyle w:val="1338"/>
        <w:spacing w:before="0" w:after="0"/>
      </w:pPr>
      <w:r>
        <w:t xml:space="preserve">Если Регламентом ЭП предусмотрено направление в составе заявки документов, представленных в момент аккредитации Участника на ЭП, Участник обязан обеспечить актуальность направляемых вместе с заявкой сведений.</w:t>
      </w:r>
      <w:r/>
    </w:p>
    <w:p>
      <w:pPr>
        <w:pStyle w:val="1338"/>
        <w:spacing w:before="0" w:after="0"/>
      </w:pPr>
      <w:r>
        <w:t xml:space="preserve">Оператор ЭП до окончания срока подачи заявок обеспечивает конфиденциальность информации, содержащейся в поданных заявках.</w:t>
      </w:r>
      <w:r/>
    </w:p>
    <w:p>
      <w:pPr>
        <w:pStyle w:val="1337"/>
        <w:spacing w:before="360" w:after="0"/>
      </w:pPr>
      <w:r/>
      <w:bookmarkStart w:id="139" w:name="_Toc230928848"/>
      <w:r/>
      <w:bookmarkStart w:id="140" w:name="_Ref125365136"/>
      <w:r/>
      <w:bookmarkStart w:id="141" w:name="_Ref125363819"/>
      <w:r/>
      <w:bookmarkStart w:id="142" w:name="_Ref125362192"/>
      <w:r/>
      <w:bookmarkStart w:id="143" w:name="_Ref125362130"/>
      <w:r>
        <w:t xml:space="preserve">Изменение и отзыв заявок</w:t>
      </w:r>
      <w:bookmarkEnd w:id="139"/>
      <w:r/>
      <w:bookmarkEnd w:id="140"/>
      <w:r/>
      <w:bookmarkEnd w:id="141"/>
      <w:r/>
      <w:bookmarkEnd w:id="142"/>
      <w:r/>
      <w:bookmarkEnd w:id="143"/>
      <w:r/>
      <w:r/>
    </w:p>
    <w:p>
      <w:pPr>
        <w:pStyle w:val="1338"/>
        <w:spacing w:before="120" w:after="0"/>
      </w:pPr>
      <w:r>
        <w:t xml:space="preserve">Участник вправе изменить или отозвать поданную им ранее заявку до момента окончания срока подачи заявок. Внесение изменений в заявку, отзыв заявки после этого времени не допускаются, кроме случаев, прямо предусмотренных Документацией о закупке.</w:t>
      </w:r>
      <w:r/>
    </w:p>
    <w:p>
      <w:pPr>
        <w:pStyle w:val="1338"/>
        <w:spacing w:before="0" w:after="0"/>
      </w:pPr>
      <w:r>
        <w:t xml:space="preserve">Отзыв Участником ранее поданной заявки является отказом от участия в закупке, отозванные заявки не рассматриваются Организатором по существу.</w:t>
      </w:r>
      <w:r/>
    </w:p>
    <w:p>
      <w:pPr>
        <w:pStyle w:val="1338"/>
        <w:spacing w:before="0" w:after="0"/>
      </w:pPr>
      <w:r>
        <w:t xml:space="preserve">Изменение и отзыв Участником ранее поданной заявки осуществляется в порядке, аналогичном порядку подачи и приема заявок, установленному в подразделе </w:t>
      </w:r>
      <w:r>
        <w:fldChar w:fldCharType="begin"/>
      </w:r>
      <w:r>
        <w:instrText xml:space="preserve"> REF _Ref125362119 \w \h </w:instrText>
      </w:r>
      <w:r>
        <w:fldChar w:fldCharType="separate"/>
      </w:r>
      <w:r>
        <w:t xml:space="preserve">4.6</w:t>
      </w:r>
      <w:r>
        <w:fldChar w:fldCharType="end"/>
      </w:r>
      <w:r>
        <w:t xml:space="preserve">.</w:t>
      </w:r>
      <w:r/>
    </w:p>
    <w:p>
      <w:pPr>
        <w:pStyle w:val="1338"/>
        <w:spacing w:before="0" w:after="0"/>
      </w:pPr>
      <w:r>
        <w:t xml:space="preserve">Изменения и отзыв заявки осуществляется посредством функционала ЭП (подробный порядок определяется Регламентом ЭП).</w:t>
      </w:r>
      <w:r/>
    </w:p>
    <w:p>
      <w:pPr>
        <w:pStyle w:val="1337"/>
        <w:spacing w:before="360" w:after="0"/>
      </w:pPr>
      <w:r/>
      <w:bookmarkStart w:id="144" w:name="_Toc230928849"/>
      <w:r/>
      <w:bookmarkStart w:id="145" w:name="_Ref130221619"/>
      <w:r/>
      <w:bookmarkStart w:id="146" w:name="_Ref125364340"/>
      <w:r/>
      <w:bookmarkEnd w:id="146"/>
      <w:r>
        <w:t xml:space="preserve">Открытие доступа к заявкам</w:t>
      </w:r>
      <w:bookmarkEnd w:id="144"/>
      <w:r/>
      <w:bookmarkEnd w:id="145"/>
      <w:r/>
      <w:r/>
    </w:p>
    <w:p>
      <w:pPr>
        <w:pStyle w:val="1338"/>
        <w:spacing w:before="120" w:after="0"/>
      </w:pPr>
      <w:r>
        <w:t xml:space="preserve">Открытие доступа к заявкам («вскрытие» поступивших электронных конвертов с заявками) не является публичным и происходит автоматически в порядке, предусмотренном Регламентом ЭП, сразу после окончания срока подачи заявок (подраздел </w:t>
      </w:r>
      <w:r>
        <w:fldChar w:fldCharType="begin"/>
      </w:r>
      <w:r>
        <w:instrText xml:space="preserve"> REF _Ref125359973 \r \h </w:instrText>
      </w:r>
      <w:r>
        <w:fldChar w:fldCharType="separate"/>
      </w:r>
      <w:r>
        <w:t xml:space="preserve">1.2</w:t>
      </w:r>
      <w:r>
        <w:fldChar w:fldCharType="end"/>
      </w:r>
      <w:r>
        <w:t xml:space="preserve">).</w:t>
      </w:r>
      <w:r/>
    </w:p>
    <w:p>
      <w:pPr>
        <w:pStyle w:val="1338"/>
        <w:spacing w:before="0" w:after="0"/>
      </w:pPr>
      <w:r>
        <w:t xml:space="preserve">Оператор ЭП предоставляет Организатору доступ одновременно ко всем поданным заявкам в полном объеме.</w:t>
      </w:r>
      <w:r/>
    </w:p>
    <w:p>
      <w:pPr>
        <w:pStyle w:val="1338"/>
        <w:keepNext/>
        <w:spacing w:before="0" w:after="0"/>
      </w:pPr>
      <w:r>
        <w:t xml:space="preserve">Организатор по результатам открытия доступа к заявкам формирует соответствующий протокол с указанием в нем, как минимум, следующей информации</w:t>
      </w:r>
      <w:r>
        <w:rPr>
          <w:rStyle w:val="1307"/>
        </w:rPr>
        <w:footnoteReference w:id="4"/>
      </w:r>
      <w:r>
        <w:t xml:space="preserve">:</w:t>
      </w:r>
      <w:r/>
    </w:p>
    <w:p>
      <w:pPr>
        <w:pStyle w:val="1339"/>
        <w:spacing w:before="120" w:after="0"/>
      </w:pPr>
      <w:r>
        <w:t xml:space="preserve">дата подписания протокола;</w:t>
      </w:r>
      <w:r/>
    </w:p>
    <w:p>
      <w:pPr>
        <w:pStyle w:val="1339"/>
        <w:spacing w:before="0" w:after="0"/>
      </w:pPr>
      <w:r>
        <w:t xml:space="preserve">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r/>
    </w:p>
    <w:p>
      <w:pPr>
        <w:pStyle w:val="1339"/>
        <w:spacing w:before="0" w:after="0"/>
      </w:pPr>
      <w:r>
        <w:t xml:space="preserve">наименование и адрес регистрации Участников, подавших заявки, и (или) их идентификационные номера, присваиваемые Оператором ЭП;</w:t>
      </w:r>
      <w:r/>
    </w:p>
    <w:p>
      <w:pPr>
        <w:pStyle w:val="1339"/>
        <w:spacing w:before="0" w:after="0"/>
      </w:pPr>
      <w:r>
        <w:t xml:space="preserve">стоимости заявок (или иное указание на общую стоимость заявки);</w:t>
      </w:r>
      <w:r/>
    </w:p>
    <w:p>
      <w:pPr>
        <w:pStyle w:val="1339"/>
        <w:spacing w:before="0" w:after="0"/>
      </w:pPr>
      <w:r>
        <w:t xml:space="preserve">причины, по которым закупка признана несостоявшейся в соответствии с подразделом </w:t>
      </w:r>
      <w:r>
        <w:fldChar w:fldCharType="begin"/>
      </w:r>
      <w:r>
        <w:instrText xml:space="preserve"> REF _Ref125364149 \w \h </w:instrText>
      </w:r>
      <w:r>
        <w:fldChar w:fldCharType="separate"/>
      </w:r>
      <w:r>
        <w:t xml:space="preserve">4.15</w:t>
      </w:r>
      <w:r>
        <w:fldChar w:fldCharType="end"/>
      </w:r>
      <w:r>
        <w:t xml:space="preserve"> (в случае ее признания таковой),</w:t>
      </w:r>
      <w:r/>
    </w:p>
    <w:p>
      <w:pPr>
        <w:pStyle w:val="1342"/>
        <w:ind w:left="1134" w:firstLine="0"/>
      </w:pPr>
      <w:r>
        <w:t xml:space="preserve">после чего официально размещает его в течение 3 (трех) календарных дней с даты подписания такого протокола. Заседание Закупочной комиссии при этом не проводится.</w:t>
      </w:r>
      <w:r/>
    </w:p>
    <w:p>
      <w:pPr>
        <w:pStyle w:val="1338"/>
        <w:spacing w:before="120" w:after="0"/>
      </w:pPr>
      <w:r>
        <w:t xml:space="preserve">Протокол открытия доступа к заявкам может формироваться автоматически Оператором ЭП, после чего официально размещаться в установленном порядке. В этом случае протокол считается подписанным уполномоченным лицом Организатора.</w:t>
      </w:r>
      <w:r/>
    </w:p>
    <w:p>
      <w:pPr>
        <w:pStyle w:val="1338"/>
        <w:spacing w:before="0" w:after="0"/>
      </w:pPr>
      <w:r>
        <w:t xml:space="preserve">Порядок получения Участниками информации о поступивших заявках через ЭП определяется Регламентом ЭП.</w:t>
      </w:r>
      <w:r/>
    </w:p>
    <w:p>
      <w:pPr>
        <w:pStyle w:val="1337"/>
        <w:spacing w:before="360" w:after="0"/>
      </w:pPr>
      <w:r/>
      <w:bookmarkStart w:id="147" w:name="_Toc230928850"/>
      <w:r/>
      <w:bookmarkStart w:id="148" w:name="_Ref135749133"/>
      <w:r/>
      <w:bookmarkStart w:id="149" w:name="_Ref125366689"/>
      <w:r/>
      <w:bookmarkStart w:id="150" w:name="_Ref125362364"/>
      <w:r/>
      <w:bookmarkStart w:id="151" w:name="_Ref125364340_Копия_1"/>
      <w:r/>
      <w:bookmarkEnd w:id="151"/>
      <w:r>
        <w:t xml:space="preserve">Рассмотрение заявок (отборочная стадия)</w:t>
      </w:r>
      <w:bookmarkEnd w:id="149"/>
      <w:r/>
      <w:bookmarkEnd w:id="150"/>
      <w:r>
        <w:t xml:space="preserve">, в том числе (при необходимости) проведение аккредитации</w:t>
      </w:r>
      <w:bookmarkEnd w:id="147"/>
      <w:r/>
      <w:bookmarkEnd w:id="148"/>
      <w:r/>
      <w:r/>
    </w:p>
    <w:p>
      <w:pPr>
        <w:pStyle w:val="1338"/>
        <w:spacing w:before="120" w:after="0"/>
      </w:pPr>
      <w:r>
        <w:t xml:space="preserve">Дата окончания срока рассмотрения заявок установлена в подразделе </w:t>
      </w:r>
      <w:r>
        <w:fldChar w:fldCharType="begin"/>
      </w:r>
      <w:r>
        <w:instrText xml:space="preserve"> REF _Ref125359973 \r \h </w:instrText>
      </w:r>
      <w:r>
        <w:fldChar w:fldCharType="separate"/>
      </w:r>
      <w:r>
        <w:t xml:space="preserve">1.2</w:t>
      </w:r>
      <w:r>
        <w:fldChar w:fldCharType="end"/>
      </w:r>
      <w:r>
        <w:t xml:space="preserve">. Организатор по согласованию с Заказчиком вправе, при необходимости, изменить ее, официально разместив информацию об этом.</w:t>
      </w:r>
      <w:r/>
    </w:p>
    <w:p>
      <w:pPr>
        <w:pStyle w:val="1338"/>
        <w:spacing w:before="0" w:after="0"/>
      </w:pPr>
      <w:r>
        <w:t xml:space="preserve">В рамках рассмотрения заявок (отборочной стадии) осуществляется проверка каждой заявки на предмет соответствия </w:t>
      </w:r>
      <w:hyperlink w:tooltip="#Прил07_ОтборочныеКритерии" w:anchor="Прил07_ОтборочныеКритерии" w:history="1">
        <w:r>
          <w:rPr>
            <w:rStyle w:val="1311"/>
          </w:rPr>
          <w:t xml:space="preserve">Отборочным критериям рассмотрения заявок (Приложение № 7)</w:t>
        </w:r>
      </w:hyperlink>
      <w:r>
        <w:t xml:space="preserve">, в том числе проводится процедура аккредитации Участников (при необходимости).</w:t>
      </w:r>
      <w:r/>
    </w:p>
    <w:p>
      <w:pPr>
        <w:pStyle w:val="1338"/>
        <w:spacing w:before="0" w:after="0"/>
      </w:pPr>
      <w:r>
        <w:t xml:space="preserve">Рассмотрение заявок проводится </w:t>
      </w:r>
      <w:r>
        <w:t xml:space="preserve">на основании представленных в составе заявки документов и сведений.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 или иным законным способом.</w:t>
      </w:r>
      <w:r/>
    </w:p>
    <w:p>
      <w:pPr>
        <w:pStyle w:val="1338"/>
        <w:keepNext/>
        <w:spacing w:before="0" w:after="0"/>
      </w:pPr>
      <w:r/>
      <w:bookmarkStart w:id="152" w:name="_Ref224833137"/>
      <w:r>
        <w:t xml:space="preserve">При выявлении в рамках рассмотрения заявок наличия арифметических ошибок, в том числе:</w:t>
      </w:r>
      <w:bookmarkEnd w:id="152"/>
      <w:r/>
      <w:r/>
    </w:p>
    <w:p>
      <w:pPr>
        <w:pStyle w:val="1339"/>
        <w:spacing w:before="120" w:after="0"/>
      </w:pPr>
      <w:r>
        <w:t xml:space="preserve">в результате суммирования единичных расценок;</w:t>
      </w:r>
      <w:r/>
    </w:p>
    <w:p>
      <w:pPr>
        <w:pStyle w:val="1339"/>
        <w:spacing w:before="0" w:after="0"/>
      </w:pPr>
      <w:r>
        <w:t xml:space="preserve">в итогах умножения единичных расценок на объем продукции;</w:t>
      </w:r>
      <w:r/>
    </w:p>
    <w:p>
      <w:pPr>
        <w:pStyle w:val="1339"/>
        <w:spacing w:before="0" w:after="0"/>
      </w:pPr>
      <w:r>
        <w:t xml:space="preserve">в вычислении суммы НДС и итоговой стоимости заявки с учетом НДС;</w:t>
      </w:r>
      <w:r/>
    </w:p>
    <w:p>
      <w:pPr>
        <w:pStyle w:val="1339"/>
        <w:spacing w:before="0" w:after="0"/>
      </w:pPr>
      <w:r>
        <w:t xml:space="preserve">иных внутренних противоречий в составе заявки,</w:t>
      </w:r>
      <w:r/>
    </w:p>
    <w:p>
      <w:pPr>
        <w:pStyle w:val="1342"/>
        <w:ind w:left="1134" w:firstLine="0"/>
      </w:pPr>
      <w:r>
        <w:t xml:space="preserve">Организатор исходит из преимущества общей итоговой стоимости (без учета НДС), указанной в структурированных формах на ЭП (последней по в</w:t>
      </w:r>
      <w:r>
        <w:t xml:space="preserve">ремени подачи) и подписанной усиленной квалифицированной электронной подписью уполномоченного лица Участника. При уклонении Участника от заключения договора на вышеуказанных условиях заявка такого Участника подлежит отклонению решением Закупочной комиссии.</w:t>
      </w:r>
      <w:r/>
    </w:p>
    <w:p>
      <w:pPr>
        <w:pStyle w:val="1338"/>
        <w:keepNext/>
        <w:spacing w:before="120" w:after="0"/>
      </w:pPr>
      <w:r/>
      <w:bookmarkStart w:id="153" w:name="_Ref125551456"/>
      <w:r>
        <w:t xml:space="preserve">По результатам рассмотрения заявок (проведения отборочной стадии) Закупочная комиссия отклоняет заявки по следующим основаниям:</w:t>
      </w:r>
      <w:bookmarkEnd w:id="153"/>
      <w:r/>
      <w:r/>
    </w:p>
    <w:p>
      <w:pPr>
        <w:pStyle w:val="1339"/>
        <w:spacing w:before="120" w:after="0"/>
      </w:pPr>
      <w:r>
        <w:t xml:space="preserve">несоответствие по составу</w:t>
      </w:r>
      <w:r>
        <w:rPr>
          <w:rStyle w:val="1307"/>
        </w:rPr>
        <w:footnoteReference w:id="5"/>
      </w:r>
      <w:r>
        <w:t xml:space="preserve">, содержанию и соблюдению требований Документации о закупке к подготовке (оформлению) заявки, в том числе наличие:</w:t>
      </w:r>
      <w:r/>
    </w:p>
    <w:p>
      <w:pPr>
        <w:pStyle w:val="1340"/>
        <w:spacing w:before="120" w:after="0"/>
      </w:pPr>
      <w:r>
        <w:t xml:space="preserve">недостоверных сведений</w:t>
      </w:r>
      <w:r>
        <w:t xml:space="preserve"> или намеренно искаженной информации или документов;</w:t>
      </w:r>
      <w:r/>
    </w:p>
    <w:p>
      <w:pPr>
        <w:pStyle w:val="1340"/>
        <w:spacing w:before="0" w:after="0"/>
      </w:pPr>
      <w:r>
        <w:t xml:space="preserve">внутренних противоречий между различными частями и (или) документами заявки, в том числе по тексту внутри одного документа (за исключением ошибок, предусмотренных пунктом </w:t>
      </w:r>
      <w:r>
        <w:fldChar w:fldCharType="begin"/>
      </w:r>
      <w:r>
        <w:instrText xml:space="preserve"> REF _Ref224833137 \r \h </w:instrText>
      </w:r>
      <w:r>
        <w:fldChar w:fldCharType="separate"/>
      </w:r>
      <w:r>
        <w:t xml:space="preserve">4.9.4</w:t>
      </w:r>
      <w:r>
        <w:fldChar w:fldCharType="end"/>
      </w:r>
      <w:r>
        <w:t xml:space="preserve">);</w:t>
      </w:r>
      <w:r/>
    </w:p>
    <w:p>
      <w:pPr>
        <w:pStyle w:val="1339"/>
        <w:spacing w:before="120" w:after="0"/>
      </w:pPr>
      <w:r>
        <w:t xml:space="preserve">несоответствие Участников требованиям Документации о закупке;</w:t>
      </w:r>
      <w:r/>
    </w:p>
    <w:p>
      <w:pPr>
        <w:pStyle w:val="1339"/>
        <w:spacing w:before="0" w:after="0"/>
      </w:pPr>
      <w:r>
        <w:t xml:space="preserve">несоответствие привлекаемых субподрядчиков (соисполнителей) требованиям Документации о закупке;</w:t>
      </w:r>
      <w:r/>
    </w:p>
    <w:p>
      <w:pPr>
        <w:pStyle w:val="1339"/>
        <w:spacing w:before="0" w:after="0"/>
      </w:pPr>
      <w:r>
        <w:t xml:space="preserve">несоответствие предлагаемой продукции требованиям Документации о закупке, в том числе порядка описания такой продукции;</w:t>
      </w:r>
      <w:r/>
    </w:p>
    <w:p>
      <w:pPr>
        <w:pStyle w:val="1339"/>
        <w:spacing w:before="0" w:after="0"/>
      </w:pPr>
      <w:r>
        <w:t xml:space="preserve">несоответствие предлагаемых договорных условий требованиям Документации о закупке, в том числе превышение стоимости заявки (цены Договора) над установленным размером НМЦ;</w:t>
      </w:r>
      <w:r/>
    </w:p>
    <w:p>
      <w:pPr>
        <w:pStyle w:val="1339"/>
        <w:spacing w:before="0" w:after="0"/>
      </w:pPr>
      <w:r>
        <w:t xml:space="preserve">несоответствие размера, формы, условий и порядка предоставления обеспечения заявки.</w:t>
      </w:r>
      <w:r/>
    </w:p>
    <w:p>
      <w:pPr>
        <w:pStyle w:val="1338"/>
        <w:spacing w:before="120" w:after="0"/>
      </w:pPr>
      <w:r>
        <w:t xml:space="preserve">По результатам рассмотрения заявок также может осуществляться предварительная оценка и сопоставление допущенных заявок, если после отборочной стадии планируется проведение переторжки (подраздел </w:t>
      </w:r>
      <w:r>
        <w:fldChar w:fldCharType="begin"/>
      </w:r>
      <w:r>
        <w:instrText xml:space="preserve"> REF _Ref125359973 \r \h </w:instrText>
      </w:r>
      <w:r>
        <w:fldChar w:fldCharType="separate"/>
      </w:r>
      <w:r>
        <w:t xml:space="preserve">1.2</w:t>
      </w:r>
      <w:r>
        <w:fldChar w:fldCharType="end"/>
      </w:r>
      <w:r>
        <w:t xml:space="preserve">, подраздел </w:t>
      </w:r>
      <w:r>
        <w:fldChar w:fldCharType="begin"/>
      </w:r>
      <w:r>
        <w:instrText xml:space="preserve"> REF _Ref125362430 \r \h </w:instrText>
      </w:r>
      <w:r>
        <w:fldChar w:fldCharType="separate"/>
      </w:r>
      <w:r>
        <w:t xml:space="preserve">4.11</w:t>
      </w:r>
      <w:r>
        <w:fldChar w:fldCharType="end"/>
      </w:r>
      <w:r>
        <w:t xml:space="preserve">). В данном случае оценка и сопоставление заявок, а также их предварительная ранжировка осуществляются в соответствии с подразделами </w:t>
      </w:r>
      <w:r>
        <w:fldChar w:fldCharType="begin"/>
      </w:r>
      <w:r>
        <w:instrText xml:space="preserve"> REF _Ref125362626 \w \h </w:instrText>
      </w:r>
      <w:r>
        <w:fldChar w:fldCharType="separate"/>
      </w:r>
      <w:r>
        <w:t xml:space="preserve">4.12</w:t>
      </w:r>
      <w:r>
        <w:fldChar w:fldCharType="end"/>
      </w:r>
      <w:r>
        <w:t xml:space="preserve">, </w:t>
      </w:r>
      <w:r>
        <w:fldChar w:fldCharType="begin"/>
      </w:r>
      <w:r>
        <w:instrText xml:space="preserve"> REF _Ref130985951 \r \h </w:instrText>
      </w:r>
      <w:r>
        <w:fldChar w:fldCharType="separate"/>
      </w:r>
      <w:r>
        <w:t xml:space="preserve">4.13</w:t>
      </w:r>
      <w:r>
        <w:fldChar w:fldCharType="end"/>
      </w:r>
      <w:r>
        <w:t xml:space="preserve">, на основании представленных в составе заявки документов и сведений (включая стоимость заявки (цену Договора)).</w:t>
      </w:r>
      <w:r/>
    </w:p>
    <w:p>
      <w:pPr>
        <w:pStyle w:val="1338"/>
        <w:keepNext/>
        <w:spacing w:before="0" w:after="0"/>
      </w:pPr>
      <w:r>
        <w:t xml:space="preserve">Решение Закупочной комиссии по рассмотрению заявок оформляется протоколом, в котором, как минимум, указываются</w:t>
      </w:r>
      <w:r>
        <w:rPr>
          <w:rStyle w:val="1307"/>
        </w:rPr>
        <w:footnoteReference w:id="6"/>
      </w:r>
      <w:r>
        <w:t xml:space="preserve">:</w:t>
      </w:r>
      <w:r/>
    </w:p>
    <w:p>
      <w:pPr>
        <w:pStyle w:val="1339"/>
        <w:spacing w:before="120" w:after="0"/>
      </w:pPr>
      <w:r>
        <w:t xml:space="preserve">дата подписания протокола;</w:t>
      </w:r>
      <w:r/>
    </w:p>
    <w:p>
      <w:pPr>
        <w:pStyle w:val="1339"/>
        <w:spacing w:before="0" w:after="0"/>
      </w:pPr>
      <w:r>
        <w:t xml:space="preserve">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r/>
    </w:p>
    <w:p>
      <w:pPr>
        <w:pStyle w:val="1339"/>
        <w:spacing w:before="0" w:after="0"/>
      </w:pPr>
      <w:r>
        <w:t xml:space="preserve">наименования Участников, подавших заявки, и (или) их идентификационные номера, присваиваемые Оператором ЭП;</w:t>
      </w:r>
      <w:r/>
    </w:p>
    <w:p>
      <w:pPr>
        <w:pStyle w:val="1339"/>
        <w:keepNext/>
        <w:spacing w:before="0" w:after="0"/>
      </w:pPr>
      <w:r>
        <w:t xml:space="preserve">результаты рассмотрения заявок с указанием, в том числе:</w:t>
      </w:r>
      <w:r/>
    </w:p>
    <w:p>
      <w:pPr>
        <w:pStyle w:val="1340"/>
        <w:spacing w:before="120" w:after="0"/>
      </w:pPr>
      <w:r>
        <w:t xml:space="preserve">количества заявок, которые были отклонены;</w:t>
      </w:r>
      <w:r/>
    </w:p>
    <w:p>
      <w:pPr>
        <w:pStyle w:val="1340"/>
        <w:spacing w:before="0" w:after="0"/>
      </w:pPr>
      <w:r>
        <w:t xml:space="preserve">оснований отклонения каждой заявки с указанием положений Документации о закупке, которым не соответствует такая заявка;</w:t>
      </w:r>
      <w:r/>
    </w:p>
    <w:p>
      <w:pPr>
        <w:pStyle w:val="1339"/>
        <w:spacing w:before="120" w:after="0"/>
      </w:pPr>
      <w:r>
        <w:t xml:space="preserve">причины, по которым закупка признана несостоявшейся в соответствии с подразделом </w:t>
      </w:r>
      <w:r>
        <w:fldChar w:fldCharType="begin"/>
      </w:r>
      <w:r>
        <w:instrText xml:space="preserve"> REF _Ref125364149 \w \h </w:instrText>
      </w:r>
      <w:r>
        <w:fldChar w:fldCharType="separate"/>
      </w:r>
      <w:r>
        <w:t xml:space="preserve">4.15</w:t>
      </w:r>
      <w:r>
        <w:fldChar w:fldCharType="end"/>
      </w:r>
      <w:r>
        <w:t xml:space="preserve"> (в случае ее признания таковой);</w:t>
      </w:r>
      <w:r/>
    </w:p>
    <w:p>
      <w:pPr>
        <w:pStyle w:val="1339"/>
        <w:keepNext/>
        <w:spacing w:before="0" w:after="0"/>
      </w:pPr>
      <w:r>
        <w:t xml:space="preserve">результаты предварительной оценки и сопоставления допущенных заявок – в случае принятия решения о проведении переторжки, с указанием, в том числе:</w:t>
      </w:r>
      <w:r/>
    </w:p>
    <w:p>
      <w:pPr>
        <w:pStyle w:val="1340"/>
        <w:spacing w:before="120" w:after="0"/>
      </w:pPr>
      <w:r>
        <w:t xml:space="preserve">значения (в баллах), присвоенного каждой заявке по каждому из предусмотренных критериев оценки, установленных в Документации о закупке;</w:t>
      </w:r>
      <w:r/>
    </w:p>
    <w:p>
      <w:pPr>
        <w:pStyle w:val="1340"/>
        <w:spacing w:before="0" w:after="0"/>
      </w:pPr>
      <w:r>
        <w:t xml:space="preserve">порядкового номера каждой допущенной заявки в предварительной ранжировке заявок, включая стоимость заявки (цену Договора);</w:t>
      </w:r>
      <w:r/>
    </w:p>
    <w:p>
      <w:pPr>
        <w:pStyle w:val="1339"/>
      </w:pPr>
      <w:r/>
      <w:bookmarkStart w:id="154" w:name="_Ref125551524"/>
      <w:r>
        <w:t xml:space="preserve">решение о проведении или непроведении переторжки,</w:t>
      </w:r>
      <w:bookmarkEnd w:id="154"/>
      <w:r/>
      <w:r/>
    </w:p>
    <w:p>
      <w:pPr>
        <w:pStyle w:val="1342"/>
        <w:ind w:left="1134" w:firstLine="0"/>
      </w:pPr>
      <w:r>
        <w:t xml:space="preserve">после чего Организатор официально размещает его в течение 3 (трех) календарных дней с даты подписания такого протокола.</w:t>
      </w:r>
      <w:r/>
    </w:p>
    <w:p>
      <w:pPr>
        <w:pStyle w:val="1338"/>
        <w:spacing w:before="120" w:after="0"/>
      </w:pPr>
      <w:r>
        <w:t xml:space="preserve">Любой Участник после официального размещ</w:t>
      </w:r>
      <w:r>
        <w:t xml:space="preserve">ения протокола рассмотрения заявок вправе направить Организатору запрос о разъяснении результатов рассмотрения и (или) оценки и сопоставления своей заявки в порядке, аналогичном порядку направления запросов на разъяснение Документации о закупке (подраздел </w:t>
      </w:r>
      <w:r>
        <w:fldChar w:fldCharType="begin"/>
      </w:r>
      <w:r>
        <w:instrText xml:space="preserve"> REF _Ref130394785 \r \h </w:instrText>
      </w:r>
      <w:r>
        <w:fldChar w:fldCharType="separate"/>
      </w:r>
      <w:r>
        <w:t xml:space="preserve">4.4</w:t>
      </w:r>
      <w:r>
        <w:fldChar w:fldCharType="end"/>
      </w:r>
      <w:r>
        <w:t xml:space="preserve">).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r/>
    </w:p>
    <w:p>
      <w:pPr>
        <w:pStyle w:val="1338"/>
        <w:spacing w:before="0" w:after="0"/>
      </w:pPr>
      <w:r>
        <w:t xml:space="preserve">Если рассмотрение заявок, оценка и сопоставле</w:t>
      </w:r>
      <w:r>
        <w:t xml:space="preserve">ние заявок, а также подведение итогов закупки осуществляются одновременно, отдельный протокол по результатам рассмотрения заявок может не оформляться, а соответствующая информация подлежит обязательному включению в итоговый протокол по результатам закупки.</w:t>
      </w:r>
      <w:r/>
    </w:p>
    <w:p>
      <w:pPr>
        <w:pStyle w:val="1338"/>
        <w:spacing w:before="0" w:after="0"/>
      </w:pPr>
      <w:r>
        <w:t xml:space="preserve">Если основания для отклонения заявки, указанные в пункте </w:t>
      </w:r>
      <w:r>
        <w:fldChar w:fldCharType="begin"/>
      </w:r>
      <w:r>
        <w:instrText xml:space="preserve"> REF _Ref125551456 \w \h </w:instrText>
      </w:r>
      <w:r>
        <w:fldChar w:fldCharType="separate"/>
      </w:r>
      <w:r>
        <w:t xml:space="preserve">4.9.5</w:t>
      </w:r>
      <w:r>
        <w:fldChar w:fldCharType="end"/>
      </w:r>
      <w:r>
        <w:t xml:space="preserve">, обнаружены позже даты проведения рассмотрения заявок, Организатор осуществляет отклонение такой заявки с внесением соответствующей информации в отдельный или ближайший ко времени события протокол закупки.</w:t>
      </w:r>
      <w:r/>
    </w:p>
    <w:p>
      <w:pPr>
        <w:pStyle w:val="1337"/>
        <w:spacing w:before="360" w:after="0"/>
      </w:pPr>
      <w:r/>
      <w:bookmarkStart w:id="155" w:name="_Toc230928851"/>
      <w:r/>
      <w:bookmarkStart w:id="156" w:name="_Ref125362610"/>
      <w:r/>
      <w:bookmarkStart w:id="157" w:name="_Ref125362464"/>
      <w:r/>
      <w:bookmarkStart w:id="158" w:name="_Ref125362425"/>
      <w:r/>
      <w:bookmarkStart w:id="159" w:name="_Ref125362381"/>
      <w:r>
        <w:t xml:space="preserve">Дополнительные запросы разъяснений заявок</w:t>
      </w:r>
      <w:bookmarkEnd w:id="155"/>
      <w:r/>
      <w:bookmarkEnd w:id="156"/>
      <w:r/>
      <w:bookmarkEnd w:id="157"/>
      <w:r/>
      <w:bookmarkEnd w:id="158"/>
      <w:r/>
      <w:bookmarkEnd w:id="159"/>
      <w:r/>
      <w:r/>
    </w:p>
    <w:p>
      <w:pPr>
        <w:pStyle w:val="1338"/>
        <w:spacing w:before="120" w:after="0"/>
      </w:pPr>
      <w:r/>
      <w:bookmarkStart w:id="160" w:name="_Ref125365611"/>
      <w:r>
        <w:t xml:space="preserve">В рамках</w:t>
      </w:r>
      <w:r>
        <w:t xml:space="preserve"> процедуры рассмотрения заявок, оценки и сопоставления заявок Организатор вправе направить в адрес Участника дополнительный запрос разъяснений и (или) дополнений его заявки, влияющих на отклонение или оценку и сопоставление его заявки, в следующих случаях:</w:t>
      </w:r>
      <w:bookmarkEnd w:id="160"/>
      <w:r/>
      <w:r/>
    </w:p>
    <w:p>
      <w:pPr>
        <w:pStyle w:val="1339"/>
        <w:keepNext/>
        <w:spacing w:before="120" w:after="0"/>
      </w:pPr>
      <w:r>
        <w:t xml:space="preserve">в составе заявки отсутствуют, представлены не в полном объеме или в нечитаемом виде документы или сведения, необходимые для определения:</w:t>
      </w:r>
      <w:r/>
    </w:p>
    <w:p>
      <w:pPr>
        <w:pStyle w:val="1340"/>
        <w:spacing w:before="120" w:after="0"/>
      </w:pPr>
      <w:r>
        <w:t xml:space="preserve">соответствия Участника требованиям Документации о закупке;</w:t>
      </w:r>
      <w:r/>
    </w:p>
    <w:p>
      <w:pPr>
        <w:pStyle w:val="1340"/>
        <w:spacing w:before="0" w:after="0"/>
      </w:pPr>
      <w:r>
        <w:t xml:space="preserve">наличия соответствующих полномочий на подписание заявки от имени Участника у лица, подписавшего заявку;</w:t>
      </w:r>
      <w:r/>
    </w:p>
    <w:p>
      <w:pPr>
        <w:pStyle w:val="1340"/>
        <w:spacing w:before="0" w:after="0"/>
      </w:pPr>
      <w:r>
        <w:t xml:space="preserve">соответствия заявки требованиям Документации о закупке в части характеристик предлагаемой продукции, страны происхождения товара и (или) страны регистрации Участника (в целях исполнения требований законодательства о национальном режиме (подраздел </w:t>
      </w:r>
      <w:r>
        <w:fldChar w:fldCharType="begin"/>
      </w:r>
      <w:r>
        <w:instrText xml:space="preserve"> REF _Ref186213053 \r \h </w:instrText>
      </w:r>
      <w:r>
        <w:fldChar w:fldCharType="separate"/>
      </w:r>
      <w:r>
        <w:t xml:space="preserve">4.13</w:t>
      </w:r>
      <w:r>
        <w:fldChar w:fldCharType="end"/>
      </w:r>
      <w:r>
        <w:t xml:space="preserve">)), договорных условий и расчета цены Договора;</w:t>
      </w:r>
      <w:r/>
    </w:p>
    <w:p>
      <w:pPr>
        <w:pStyle w:val="1339"/>
        <w:spacing w:before="120" w:after="0"/>
      </w:pPr>
      <w:r/>
      <w:bookmarkStart w:id="161" w:name="_Ref134702259"/>
      <w:r>
        <w:t xml:space="preserve">в составе заявки отсутствуют, представлены не в полном объеме или в нечитаемом виде документы или сведения, необходимые для прохождения Участником в рамках рассмотрения заявок процедуры аккредитации (при необходимости);</w:t>
      </w:r>
      <w:r/>
    </w:p>
    <w:p>
      <w:pPr>
        <w:pStyle w:val="1339"/>
        <w:spacing w:before="0" w:after="0"/>
      </w:pPr>
      <w:r>
        <w:t xml:space="preserve">в заявке имеются разночтения или положения, допускающие неоднозначное толкование, не позволяющие определить соответствие заявки или Участника (в том числе не позволяющие провести в отношении него процедуру аккредитации (при необходимости)</w:t>
      </w:r>
      <w:r>
        <w:rPr>
          <w:rStyle w:val="1307"/>
        </w:rPr>
        <w:footnoteReference w:id="7"/>
      </w:r>
      <w:r>
        <w:t xml:space="preserve">) требованиям Документации о закупке или осуществить оценку и сопоставление заявок.</w:t>
      </w:r>
      <w:bookmarkEnd w:id="161"/>
      <w:r/>
      <w:r/>
    </w:p>
    <w:p>
      <w:pPr>
        <w:pStyle w:val="1338"/>
        <w:spacing w:before="120" w:after="0"/>
      </w:pPr>
      <w:r>
        <w:t xml:space="preserve">Если в рамках рассмотрен</w:t>
      </w:r>
      <w:r>
        <w:t xml:space="preserve">ия заявок проводится процедура аккредитации, Организатор вправе направить в адрес Участника дополнительный запрос разъяснений и (или) дополнений его заявки, влияющих на прохождение аккредитации таким Участником (в том числе в случае, указанном в подпункте </w:t>
      </w:r>
      <w:r>
        <w:fldChar w:fldCharType="begin"/>
      </w:r>
      <w:r>
        <w:instrText xml:space="preserve"> REF _Ref134702259 \r \h </w:instrText>
      </w:r>
      <w:r>
        <w:fldChar w:fldCharType="separate"/>
      </w:r>
      <w:r>
        <w:t xml:space="preserve">4.10.1б)</w:t>
      </w:r>
      <w:r>
        <w:fldChar w:fldCharType="end"/>
      </w:r>
      <w:r>
        <w:t xml:space="preserve">).</w:t>
      </w:r>
      <w:r/>
    </w:p>
    <w:p>
      <w:pPr>
        <w:pStyle w:val="1338"/>
        <w:spacing w:before="0" w:after="0"/>
      </w:pPr>
      <w:r>
        <w:t xml:space="preserve">Не допускаются запросы со стороны Организатора, а также ответы со стороны Участников, изменяющие суть заявки (предмет, объем, цена, номенклатура предлагаемой Участником продукции).</w:t>
      </w:r>
      <w:r/>
    </w:p>
    <w:p>
      <w:pPr>
        <w:pStyle w:val="1338"/>
        <w:spacing w:before="0" w:after="0"/>
      </w:pPr>
      <w:r>
        <w:t xml:space="preserve">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r/>
    </w:p>
    <w:p>
      <w:pPr>
        <w:pStyle w:val="1338"/>
        <w:spacing w:before="0" w:after="0"/>
      </w:pPr>
      <w:r>
        <w:t xml:space="preserve">Дополнительные запросы направляются одновременно (в один день) всем Участникам, у которых был выявлен факт несоответствий, за исключением следующего – дополнительные запросы не направляются Участнику если в соответствии с пунктом </w:t>
      </w:r>
      <w:r>
        <w:fldChar w:fldCharType="begin"/>
      </w:r>
      <w:r>
        <w:instrText xml:space="preserve"> REF _Ref125551456 \w \h </w:instrText>
      </w:r>
      <w:r>
        <w:fldChar w:fldCharType="separate"/>
      </w:r>
      <w:r>
        <w:t xml:space="preserve">4.9.5</w:t>
      </w:r>
      <w:r>
        <w:fldChar w:fldCharType="end"/>
      </w:r>
      <w:r>
        <w:t xml:space="preserve"> имеются прямые основания для отклонения заявки такого Участника, не относящиеся к случаям, перечисленным в пункте </w:t>
      </w:r>
      <w:r>
        <w:fldChar w:fldCharType="begin"/>
      </w:r>
      <w:r>
        <w:instrText xml:space="preserve"> REF _Ref125365611 \w \h </w:instrText>
      </w:r>
      <w:r>
        <w:fldChar w:fldCharType="separate"/>
      </w:r>
      <w:r>
        <w:t xml:space="preserve">4.10.1</w:t>
      </w:r>
      <w:r>
        <w:fldChar w:fldCharType="end"/>
      </w:r>
      <w:r>
        <w:t xml:space="preserve">.</w:t>
      </w:r>
      <w:r/>
    </w:p>
    <w:p>
      <w:pPr>
        <w:pStyle w:val="1338"/>
        <w:spacing w:before="0" w:after="0"/>
      </w:pPr>
      <w:r>
        <w:t xml:space="preserve">Срок предоставления Участниками разъяснений своих заявок устанавливается одинаковый для всех и составляет не менее 2 (двух) рабочих дней с момента направления запроса в адрес Участника.</w:t>
      </w:r>
      <w:r/>
    </w:p>
    <w:p>
      <w:pPr>
        <w:pStyle w:val="1338"/>
        <w:spacing w:before="0" w:after="0"/>
      </w:pPr>
      <w:r>
        <w:t xml:space="preserve">Направление О</w:t>
      </w:r>
      <w:r>
        <w:t xml:space="preserve">рганизатором дополнительных запросов и ответов Участников на данные запросы осуществляется с помощью программных и технических средств ЭП в порядке, предусмотренном Регламентом ЭП (ответы Участников, поступившие не через ЭП, к рассмотрению не принимаются).</w:t>
      </w:r>
      <w:r/>
    </w:p>
    <w:p>
      <w:pPr>
        <w:pStyle w:val="1338"/>
        <w:spacing w:before="0" w:after="0"/>
      </w:pPr>
      <w:r>
        <w:t xml:space="preserve">Непредставление или представление не в полном объеме запрашиваемых документов и (или) разъяснений в установленный в запросе срок служит основанием для отклонения заявки такого Участника по условиям пункта </w:t>
      </w:r>
      <w:r>
        <w:fldChar w:fldCharType="begin"/>
      </w:r>
      <w:r>
        <w:instrText xml:space="preserve"> REF _Ref125551456 \w \h </w:instrText>
      </w:r>
      <w:r>
        <w:fldChar w:fldCharType="separate"/>
      </w:r>
      <w:r>
        <w:t xml:space="preserve">4.9.5</w:t>
      </w:r>
      <w:r>
        <w:fldChar w:fldCharType="end"/>
      </w:r>
      <w:r>
        <w:t xml:space="preserve">.</w:t>
      </w:r>
      <w:r/>
    </w:p>
    <w:p>
      <w:pPr>
        <w:pStyle w:val="1337"/>
        <w:spacing w:before="360" w:after="0"/>
      </w:pPr>
      <w:r/>
      <w:bookmarkStart w:id="162" w:name="_Toc230928852"/>
      <w:r/>
      <w:bookmarkStart w:id="163" w:name="_Ref127536359"/>
      <w:r/>
      <w:bookmarkStart w:id="164" w:name="_Ref125362537"/>
      <w:r/>
      <w:bookmarkStart w:id="165" w:name="_Ref125362430"/>
      <w:r>
        <w:t xml:space="preserve">Переторжка</w:t>
      </w:r>
      <w:bookmarkEnd w:id="162"/>
      <w:r/>
      <w:bookmarkEnd w:id="163"/>
      <w:r/>
      <w:bookmarkEnd w:id="164"/>
      <w:r/>
      <w:bookmarkEnd w:id="165"/>
      <w:r/>
      <w:r/>
    </w:p>
    <w:p>
      <w:pPr>
        <w:pStyle w:val="1338"/>
        <w:spacing w:before="120" w:after="0"/>
      </w:pPr>
      <w:r>
        <w:t xml:space="preserve">Нормы настоящего подраздела применяются, если подразделом </w:t>
      </w:r>
      <w:r>
        <w:fldChar w:fldCharType="begin"/>
      </w:r>
      <w:r>
        <w:instrText xml:space="preserve"> REF _Ref125359973 \r \h </w:instrText>
      </w:r>
      <w:r>
        <w:fldChar w:fldCharType="separate"/>
      </w:r>
      <w:r>
        <w:t xml:space="preserve">1.2</w:t>
      </w:r>
      <w:r>
        <w:fldChar w:fldCharType="end"/>
      </w:r>
      <w:r>
        <w:t xml:space="preserve"> предусмотрено проведение процедуры переторжки и соответствующие решение о проведении процедуры переторжки принято Закупочной комиссией.</w:t>
      </w:r>
      <w:r/>
    </w:p>
    <w:p>
      <w:pPr>
        <w:pStyle w:val="1338"/>
        <w:spacing w:before="0" w:after="0"/>
      </w:pPr>
      <w:r>
        <w:t xml:space="preserve">Решение о проведении процедуры переторжки, а также ее предмете, сроках и форме ее проведения принимает Закупочная комиссия (и фиксиру</w:t>
      </w:r>
      <w:r>
        <w:t xml:space="preserve">ет в протоколе рассмотрения заявок). Переторжка может проводиться один или несколько раз (далее – многократная переторжка). Каждая процедура переторжки проводится на основании отдельного решения Закупочной комиссии, оформляемого соответствующим протоколом.</w:t>
      </w:r>
      <w:r/>
    </w:p>
    <w:p>
      <w:pPr>
        <w:pStyle w:val="1338"/>
        <w:keepNext/>
        <w:spacing w:before="0" w:after="0"/>
      </w:pPr>
      <w:r>
        <w:t xml:space="preserve">Предметом переторжки могут являться следующие условия (или их сочетания), позволяющие повысить предпочтительность поданных заявок:</w:t>
      </w:r>
      <w:r/>
    </w:p>
    <w:p>
      <w:pPr>
        <w:pStyle w:val="1339"/>
        <w:spacing w:before="120" w:after="0"/>
      </w:pPr>
      <w:r>
        <w:t xml:space="preserve">стоимость заявки (цена Договора) / цена за единицу продукции;</w:t>
      </w:r>
      <w:r/>
    </w:p>
    <w:p>
      <w:pPr>
        <w:pStyle w:val="1339"/>
        <w:spacing w:before="0" w:after="0"/>
      </w:pPr>
      <w:r>
        <w:t xml:space="preserve">сроки поставки продукции;</w:t>
      </w:r>
      <w:r/>
    </w:p>
    <w:p>
      <w:pPr>
        <w:pStyle w:val="1339"/>
        <w:spacing w:before="0" w:after="0"/>
      </w:pPr>
      <w:r>
        <w:t xml:space="preserve">условия оплаты;</w:t>
      </w:r>
      <w:r/>
    </w:p>
    <w:p>
      <w:pPr>
        <w:pStyle w:val="1339"/>
        <w:spacing w:before="0" w:after="0"/>
      </w:pPr>
      <w:r>
        <w:t xml:space="preserve">иные условия, которые являются критериями оценки заявок.</w:t>
      </w:r>
      <w:r/>
    </w:p>
    <w:p>
      <w:pPr>
        <w:pStyle w:val="1342"/>
        <w:ind w:left="1134" w:firstLine="0"/>
      </w:pPr>
      <w:r>
        <w:t xml:space="preserve">При этом предметом переторжки не могут быть условия, которые не входят в состав критериев оценки в соответствии с Документацией о закупке.</w:t>
      </w:r>
      <w:r/>
    </w:p>
    <w:p>
      <w:pPr>
        <w:pStyle w:val="1338"/>
        <w:spacing w:before="120" w:after="0"/>
      </w:pPr>
      <w:r>
        <w:t xml:space="preserve">При проведении переторжки по</w:t>
      </w:r>
      <w:r>
        <w:t xml:space="preserve"> цене у Участника отсутствует обязанность предложить цену обязательно ниже цен иных Участников (т.е. данная процедура не является аукционом или его аналогом, поскольку каждый снижает свою собственную цену независимо от цен, заявленных другими Участниками).</w:t>
      </w:r>
      <w:r/>
    </w:p>
    <w:p>
      <w:pPr>
        <w:pStyle w:val="1338"/>
        <w:spacing w:before="0" w:after="0"/>
      </w:pPr>
      <w:r>
        <w:t xml:space="preserve">В переторжке может принять участие любой Участник, заявка которого не была отклонена по результатам рассмотрения заявок.</w:t>
      </w:r>
      <w:r/>
    </w:p>
    <w:p>
      <w:pPr>
        <w:pStyle w:val="1338"/>
        <w:spacing w:before="0" w:after="0"/>
      </w:pPr>
      <w:r>
        <w:t xml:space="preserve">Участник, допущенный к переторжке, вправе не принимать в ней участия, при этом его заявка не отклоняется и действует на предложенных в ней условиях в течение срока, указанного в Письме о подаче оферты (форма 2) (</w:t>
      </w:r>
      <w:hyperlink w:tooltip="#Прил04_ФормыЗаявки" w:anchor="Прил04_ФормыЗаявки" w:history="1">
        <w:r>
          <w:rPr>
            <w:rStyle w:val="1311"/>
          </w:rPr>
          <w:t xml:space="preserve">Приложение № 4</w:t>
        </w:r>
      </w:hyperlink>
      <w:r>
        <w:t xml:space="preserve">).</w:t>
      </w:r>
      <w:r/>
    </w:p>
    <w:p>
      <w:pPr>
        <w:pStyle w:val="1338"/>
        <w:spacing w:before="0" w:after="0"/>
      </w:pPr>
      <w:r>
        <w:t xml:space="preserve">Предложения Участника по снижению предпочтительности заявки по соответствующему предмету переторжки, в том числе по повышению цены, не рассматриваются, такой Участник считается не участвовавшим в переторжке.</w:t>
      </w:r>
      <w:r/>
    </w:p>
    <w:p>
      <w:pPr>
        <w:pStyle w:val="1338"/>
        <w:spacing w:before="0" w:after="0"/>
      </w:pPr>
      <w:r>
        <w:t xml:space="preserve">Изменение цены в сторону снижения, а также изменение иных условий заявки по соответствующему предмету переторжки, </w:t>
      </w:r>
      <w:r>
        <w:t xml:space="preserve">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заявленными условиями.</w:t>
      </w:r>
      <w:r/>
    </w:p>
    <w:p>
      <w:pPr>
        <w:pStyle w:val="1338"/>
        <w:spacing w:before="0" w:after="0"/>
      </w:pPr>
      <w:r>
        <w:t xml:space="preserve">Участник не вправе изменять и (или) отзывать поданные предложения на переторжку после окончания ее проведения.</w:t>
      </w:r>
      <w:r/>
    </w:p>
    <w:p>
      <w:pPr>
        <w:pStyle w:val="1338"/>
        <w:spacing w:before="0" w:after="0"/>
      </w:pPr>
      <w:r>
        <w:t xml:space="preserve">Участие в переторжке не расценивается Организатором как нарушение требований о праве подачи Участником не более одной заявки. Предложения, заявленные Участниками в ходе переторжки, имеют статус разрешенных изменений в ранее поданную заявку.</w:t>
      </w:r>
      <w:r/>
    </w:p>
    <w:p>
      <w:pPr>
        <w:pStyle w:val="1338"/>
        <w:spacing w:before="0" w:after="0"/>
      </w:pPr>
      <w:r>
        <w:t xml:space="preserve">Процедура переторжки проводится на ЭП в порядке, предусмотренном настоящим подразделом и Регламентом ЭП.</w:t>
      </w:r>
      <w:r/>
    </w:p>
    <w:p>
      <w:pPr>
        <w:pStyle w:val="1338"/>
        <w:keepNext/>
        <w:spacing w:before="0" w:after="0"/>
      </w:pPr>
      <w:r>
        <w:t xml:space="preserve">В зависимости от правил, предусмотренных Регламентом ЭП, переторжка может проводиться:</w:t>
      </w:r>
      <w:r/>
    </w:p>
    <w:p>
      <w:pPr>
        <w:pStyle w:val="1339"/>
        <w:spacing w:before="120" w:after="0"/>
      </w:pPr>
      <w:r>
        <w:t xml:space="preserve">в заочной форме путем однократной подачи предложения на переторжку к установленному сроку;</w:t>
      </w:r>
      <w:r/>
    </w:p>
    <w:p>
      <w:pPr>
        <w:pStyle w:val="1339"/>
        <w:spacing w:before="0" w:after="0"/>
      </w:pPr>
      <w:r>
        <w:t xml:space="preserve">в очной форме путем неоднократного снижения стоимости заявки (цены Договора) или улучшения других показателей, в том числе с установлением «шага» переторжки.</w:t>
      </w:r>
      <w:r/>
    </w:p>
    <w:p>
      <w:pPr>
        <w:pStyle w:val="1338"/>
        <w:spacing w:before="120" w:after="0"/>
      </w:pPr>
      <w:r>
        <w:t xml:space="preserve">Приглашение Участников к процедуре переторжки осуществляется посредством одновременного (в один день) направления им соответствующих уведомлений посредством ЭП. В уведомлении указывается срок окончания подачи Участниками предложений на переторжку.</w:t>
      </w:r>
      <w:r/>
    </w:p>
    <w:p>
      <w:pPr>
        <w:pStyle w:val="1338"/>
        <w:spacing w:before="0" w:after="0"/>
      </w:pPr>
      <w:r>
        <w:t xml:space="preserve">Участник, желающий принять участие в переторжке, должен в срок, установленный Закупочной комиссией, предоставить свои предложения на переторжку.</w:t>
      </w:r>
      <w:r/>
    </w:p>
    <w:p>
      <w:pPr>
        <w:pStyle w:val="1338"/>
        <w:spacing w:before="0" w:after="0"/>
      </w:pPr>
      <w:r/>
      <w:bookmarkStart w:id="166" w:name="_Ref136245191"/>
      <w:r>
        <w:t xml:space="preserve">При заочной форме переторжки Участник вместе с предложением на переторжку размещает на ЭП документы своей заявки, указанные в пункте </w:t>
      </w:r>
      <w:r>
        <w:fldChar w:fldCharType="begin"/>
      </w:r>
      <w:r>
        <w:instrText xml:space="preserve"> REF _Ref136244167 \r \h </w:instrText>
      </w:r>
      <w:r>
        <w:fldChar w:fldCharType="separate"/>
      </w:r>
      <w:r>
        <w:t xml:space="preserve">4.11.17</w:t>
      </w:r>
      <w:r>
        <w:fldChar w:fldCharType="end"/>
      </w:r>
      <w:r>
        <w:t xml:space="preserve">, подлежащие корректировке в строгом соответствии с предложением, заявленным им в ходе проведения переторжки.</w:t>
      </w:r>
      <w:bookmarkEnd w:id="166"/>
      <w:r/>
      <w:r/>
    </w:p>
    <w:p>
      <w:pPr>
        <w:pStyle w:val="1338"/>
        <w:spacing w:before="0" w:after="0"/>
      </w:pPr>
      <w:r>
        <w:t xml:space="preserve">При очной форме переторжки Участник, признанный Победителем, при условии, что он принимал участие в переторжке, обязан предоставить Заказчику в сроки, определенные подразделом </w:t>
      </w:r>
      <w:r>
        <w:fldChar w:fldCharType="begin"/>
      </w:r>
      <w:r>
        <w:instrText xml:space="preserve"> REF _Ref138232981 \r \h </w:instrText>
      </w:r>
      <w:r>
        <w:fldChar w:fldCharType="separate"/>
      </w:r>
      <w:r>
        <w:t xml:space="preserve">5.2</w:t>
      </w:r>
      <w:r>
        <w:fldChar w:fldCharType="end"/>
      </w:r>
      <w:r>
        <w:t xml:space="preserve">, документы своей заявки, указанные в пункте </w:t>
      </w:r>
      <w:r>
        <w:fldChar w:fldCharType="begin"/>
      </w:r>
      <w:r>
        <w:instrText xml:space="preserve"> REF _Ref136244167 \r \h </w:instrText>
      </w:r>
      <w:r>
        <w:fldChar w:fldCharType="separate"/>
      </w:r>
      <w:r>
        <w:t xml:space="preserve">4.11.17</w:t>
      </w:r>
      <w:r>
        <w:fldChar w:fldCharType="end"/>
      </w:r>
      <w:r>
        <w:t xml:space="preserve">, подлежащие корректировке в строгом соответствии с предложением, заявленным им в ходе проведения переторжки (в том числе, последним по времени стоимостным предложением, заявленным в ходе проведения переторжки).</w:t>
      </w:r>
      <w:r/>
    </w:p>
    <w:p>
      <w:pPr>
        <w:pStyle w:val="1338"/>
        <w:keepNext/>
        <w:spacing w:before="0" w:after="0"/>
      </w:pPr>
      <w:r/>
      <w:bookmarkStart w:id="167" w:name="_Ref136244167"/>
      <w:r>
        <w:t xml:space="preserve">Документы заявки, подлежащие корректировке по результатам переторжки:</w:t>
      </w:r>
      <w:bookmarkEnd w:id="167"/>
      <w:r/>
      <w:r/>
    </w:p>
    <w:p>
      <w:pPr>
        <w:pStyle w:val="1339"/>
        <w:spacing w:before="120" w:after="0"/>
      </w:pPr>
      <w:r>
        <w:t xml:space="preserve">Письмо о подаче оферты (форма 2) (</w:t>
      </w:r>
      <w:hyperlink w:tooltip="#Прил04_ФормыЗаявки" w:anchor="Прил04_ФормыЗаявки" w:history="1">
        <w:r>
          <w:rPr>
            <w:rStyle w:val="1311"/>
          </w:rPr>
          <w:t xml:space="preserve">Приложение № 4</w:t>
        </w:r>
      </w:hyperlink>
      <w:r>
        <w:t xml:space="preserve">);</w:t>
      </w:r>
      <w:r/>
    </w:p>
    <w:p>
      <w:pPr>
        <w:pStyle w:val="1339"/>
        <w:spacing w:before="0" w:after="0"/>
      </w:pPr>
      <w:r>
        <w:t xml:space="preserve">Коммерческое предложение (форма 3) (</w:t>
      </w:r>
      <w:hyperlink w:tooltip="#Прил04_ФормыЗаявки" w:anchor="Прил04_ФормыЗаявки" w:history="1">
        <w:r>
          <w:rPr>
            <w:rStyle w:val="1311"/>
          </w:rPr>
          <w:t xml:space="preserve">Приложение № 4</w:t>
        </w:r>
      </w:hyperlink>
      <w:r>
        <w:t xml:space="preserve">); также дополнительно предоставляется подтверждающая документация, составленная в соответствии с </w:t>
      </w:r>
      <w:hyperlink w:tooltip="#Прил01_ТехТребования" w:anchor="Прил01_ТехТребования" w:history="1">
        <w:r>
          <w:rPr>
            <w:rStyle w:val="1311"/>
          </w:rPr>
          <w:t xml:space="preserve">Техническими требованиями (Приложение № 1)</w:t>
        </w:r>
      </w:hyperlink>
      <w:r>
        <w:t xml:space="preserve"> – только если в Технических требованиях установлены требования к документации по ценообразованию (подраздел «Требования к документации по ценообразованию на этапе закупки»), либо аналогичные по смыслу;</w:t>
      </w:r>
      <w:r/>
    </w:p>
    <w:p>
      <w:pPr>
        <w:pStyle w:val="1339"/>
        <w:spacing w:before="0" w:after="0"/>
      </w:pPr>
      <w:r>
        <w:t xml:space="preserve">План распределения объемов поставки продукции (форма 10) (</w:t>
      </w:r>
      <w:hyperlink w:tooltip="#Прил04_ФормыЗаявки" w:anchor="Прил04_ФормыЗаявки" w:history="1">
        <w:r>
          <w:rPr>
            <w:rStyle w:val="1311"/>
          </w:rPr>
          <w:t xml:space="preserve">Приложение № 4</w:t>
        </w:r>
      </w:hyperlink>
      <w:r>
        <w:t xml:space="preserve">) – только если заявка подана Коллективным участником или Генеральным подрядчиком;</w:t>
      </w:r>
      <w:r/>
    </w:p>
    <w:p>
      <w:pPr>
        <w:pStyle w:val="1339"/>
        <w:spacing w:before="0" w:after="0"/>
      </w:pPr>
      <w:r/>
      <w:bookmarkStart w:id="168" w:name="_Ref130376111"/>
      <w:r>
        <w:t xml:space="preserve">иной документ, указанный в протоколе закупки (которым назначена переторжка), связанный с предметом проводимой переторжки.</w:t>
      </w:r>
      <w:bookmarkEnd w:id="168"/>
      <w:r/>
      <w:r/>
    </w:p>
    <w:p>
      <w:pPr>
        <w:pStyle w:val="1338"/>
        <w:spacing w:before="120" w:after="0"/>
      </w:pPr>
      <w:r>
        <w:t xml:space="preserve">Если Участник, принявший участие в переторжке в заочной форме, не предоставил документы, в соответствии с пунктом </w:t>
      </w:r>
      <w:r>
        <w:fldChar w:fldCharType="begin"/>
      </w:r>
      <w:r>
        <w:instrText xml:space="preserve"> REF _Ref136245191 \r \h </w:instrText>
      </w:r>
      <w:r>
        <w:fldChar w:fldCharType="separate"/>
      </w:r>
      <w:r>
        <w:t xml:space="preserve">4.11.15</w:t>
      </w:r>
      <w:r>
        <w:fldChar w:fldCharType="end"/>
      </w:r>
      <w:r>
        <w:t xml:space="preserve">, либо не предоставил их в ответ на дополнительный запрос Организатора, он считается не участвовавшим в переторжке, и его заявка остается действующей с ранее (первоначально) заявленными условиями.</w:t>
      </w:r>
      <w:r/>
    </w:p>
    <w:p>
      <w:pPr>
        <w:pStyle w:val="1338"/>
        <w:spacing w:before="0" w:after="0"/>
      </w:pPr>
      <w:r>
        <w:t xml:space="preserve">При наличии соответствующего решения Закупочной комиссии о допуске Участ</w:t>
      </w:r>
      <w:r>
        <w:t xml:space="preserve">ника к переторжке в заочной форме с отлагательным условием (например, при условии представления им недостающих ранее или уточняющих документов) и неисполнения Участником этого условия, Закупочная комиссия отклоняет заявку такого Участника после переторжки.</w:t>
      </w:r>
      <w:r/>
    </w:p>
    <w:p>
      <w:pPr>
        <w:pStyle w:val="1338"/>
        <w:spacing w:before="0" w:after="0"/>
      </w:pPr>
      <w:r>
        <w:t xml:space="preserve">Результаты переторжки оформляются протоколом, который Организатор официально размещает в течение 3 (трех) календарных дней с даты проведения переторжки.</w:t>
      </w:r>
      <w:r/>
    </w:p>
    <w:p>
      <w:pPr>
        <w:pStyle w:val="1337"/>
        <w:spacing w:before="360" w:after="0"/>
      </w:pPr>
      <w:r/>
      <w:bookmarkStart w:id="169" w:name="_Toc230928853"/>
      <w:r/>
      <w:bookmarkStart w:id="170" w:name="_Ref125369308"/>
      <w:r/>
      <w:bookmarkStart w:id="171" w:name="_Ref125369041"/>
      <w:r/>
      <w:bookmarkStart w:id="172" w:name="_Ref125366534"/>
      <w:r/>
      <w:bookmarkStart w:id="173" w:name="_Ref125365519"/>
      <w:r/>
      <w:bookmarkStart w:id="174" w:name="_Ref125365335"/>
      <w:r/>
      <w:bookmarkStart w:id="175" w:name="_Ref125362626"/>
      <w:r>
        <w:t xml:space="preserve">Оценка и сопоставление заявок</w:t>
      </w:r>
      <w:bookmarkEnd w:id="169"/>
      <w:r/>
      <w:bookmarkEnd w:id="170"/>
      <w:r/>
      <w:bookmarkEnd w:id="171"/>
      <w:r/>
      <w:bookmarkEnd w:id="172"/>
      <w:r/>
      <w:bookmarkEnd w:id="173"/>
      <w:r/>
      <w:bookmarkEnd w:id="174"/>
      <w:r/>
      <w:bookmarkEnd w:id="175"/>
      <w:r/>
      <w:r/>
    </w:p>
    <w:p>
      <w:pPr>
        <w:pStyle w:val="1338"/>
        <w:spacing w:before="120" w:after="0"/>
      </w:pPr>
      <w:r>
        <w:t xml:space="preserve">Оценка и сопоставление заявок, признанных Закупочной комиссией соответствующими по результатам рассмотрения заявок (подраздел </w:t>
      </w:r>
      <w:r>
        <w:fldChar w:fldCharType="begin"/>
      </w:r>
      <w:r>
        <w:instrText xml:space="preserve"> REF _Ref125362364 \w \h </w:instrText>
      </w:r>
      <w:r>
        <w:fldChar w:fldCharType="separate"/>
      </w:r>
      <w:r>
        <w:t xml:space="preserve">4.9</w:t>
      </w:r>
      <w:r>
        <w:fldChar w:fldCharType="end"/>
      </w:r>
      <w:r>
        <w:t xml:space="preserve">), осуществляется в соответствии с </w:t>
      </w:r>
      <w:hyperlink w:tooltip="#Прил08_ПорядокОценки" w:anchor="Прил08_ПорядокОценки" w:history="1">
        <w:r>
          <w:rPr>
            <w:rStyle w:val="1311"/>
          </w:rPr>
          <w:t xml:space="preserve">Порядком и критериями оценки и сопоставления заявок (Приложение № 8)</w:t>
        </w:r>
      </w:hyperlink>
      <w:r>
        <w:rPr>
          <w:rStyle w:val="1311"/>
        </w:rPr>
        <w:t xml:space="preserve">.</w:t>
      </w:r>
      <w:r>
        <w:t xml:space="preserve"> Их результатом является формирование ранжировки заявок по степени пр</w:t>
      </w:r>
      <w:r>
        <w:t xml:space="preserve">едпочтительности на основании полученного итогового балла (по мере уменьшения). При этом первое место в ранжировке присваивается заявке, получившей наибольший итоговый балл. Если по результатам оценки нескольким заявкам присвоен одинаковый итоговый балл, т</w:t>
      </w:r>
      <w:r>
        <w:t xml:space="preserve">о меньший порядковый номер (более высокое место в ранжировке) присваивается заявке, которая поступила ранее других заявок (по дате и времени последнего изменения заявки на ЭП до окончания срока подачи заявок, а также если проводилась переторжка (подраздел </w:t>
      </w:r>
      <w:r>
        <w:fldChar w:fldCharType="begin"/>
      </w:r>
      <w:r>
        <w:instrText xml:space="preserve"> REF _Ref125362430 \r \h </w:instrText>
      </w:r>
      <w:r>
        <w:fldChar w:fldCharType="separate"/>
      </w:r>
      <w:r>
        <w:t xml:space="preserve">4.11</w:t>
      </w:r>
      <w:r>
        <w:fldChar w:fldCharType="end"/>
      </w:r>
      <w:r>
        <w:t xml:space="preserve">), с учетом даты и времени последнего изменения заявки на ЭП, обусловленного переторжкой).</w:t>
      </w:r>
      <w:r/>
    </w:p>
    <w:p>
      <w:pPr>
        <w:pStyle w:val="1338"/>
        <w:spacing w:before="0" w:after="0"/>
      </w:pPr>
      <w:r>
        <w:t xml:space="preserve">Оценка и сопоставление заявок проводится только на основании представленных в составе заявки документов и сведений. Применение иного порядка и (или) критериев оценки и сопоставления заявок, кроме предусмотренных Документацией о закупке, не допускается.</w:t>
      </w:r>
      <w:r/>
    </w:p>
    <w:p>
      <w:pPr>
        <w:pStyle w:val="1338"/>
        <w:spacing w:before="0" w:after="0"/>
      </w:pPr>
      <w:r>
        <w:t xml:space="preserve">Если проводилась переторжка, оценка и сопоставление заявок, а также их ранжировка осуществляются с учетом предложений, полученных по результатам переторжки (последней переторжки – если она проводилась многократно). Заявки Участников, не </w:t>
      </w:r>
      <w:r>
        <w:t xml:space="preserve">принявших участие в переторжке, учитываются при построении ранжировки заявок с первоначальными, указанными в их заявках предложениями (или с предложениями, принятыми Организатором в рамках последней прошедшей переторжки – если она проводилась многократно).</w:t>
      </w:r>
      <w:r/>
    </w:p>
    <w:p>
      <w:pPr>
        <w:pStyle w:val="1338"/>
        <w:spacing w:before="0" w:after="0"/>
      </w:pPr>
      <w:r>
        <w:t xml:space="preserve">Оценка и сопоставление заявок, а также их ранжировка, осуществляется с учетом применения законодательства о национальном режиме, в т.ч. ПП 1875 (подраздел </w:t>
      </w:r>
      <w:r>
        <w:fldChar w:fldCharType="begin"/>
      </w:r>
      <w:r>
        <w:instrText xml:space="preserve"> REF _Ref130985951 \r \h </w:instrText>
      </w:r>
      <w:r>
        <w:fldChar w:fldCharType="separate"/>
      </w:r>
      <w:r>
        <w:t xml:space="preserve">4.13</w:t>
      </w:r>
      <w:r>
        <w:fldChar w:fldCharType="end"/>
      </w:r>
      <w:r>
        <w:t xml:space="preserve">).</w:t>
      </w:r>
      <w:r/>
    </w:p>
    <w:p>
      <w:pPr>
        <w:pStyle w:val="1338"/>
        <w:spacing w:before="0" w:after="0"/>
      </w:pPr>
      <w:r>
        <w:t xml:space="preserve">Результаты оценки и сопоставления заявок вносятся в итоговый протокол по результатам закупки.</w:t>
      </w:r>
      <w:r/>
    </w:p>
    <w:p>
      <w:pPr>
        <w:pStyle w:val="1337"/>
        <w:spacing w:before="360" w:after="0"/>
      </w:pPr>
      <w:r/>
      <w:bookmarkStart w:id="176" w:name="_Ref130458671"/>
      <w:r/>
      <w:bookmarkStart w:id="177" w:name="_Ref125370507"/>
      <w:r/>
      <w:bookmarkStart w:id="178" w:name="_Ref125369991"/>
      <w:r/>
      <w:bookmarkStart w:id="179" w:name="_Ref125366064"/>
      <w:r/>
      <w:bookmarkStart w:id="180" w:name="_Toc230928854"/>
      <w:r/>
      <w:bookmarkStart w:id="181" w:name="_Ref132894111"/>
      <w:r/>
      <w:bookmarkStart w:id="182" w:name="_Ref132894106"/>
      <w:r/>
      <w:bookmarkStart w:id="183" w:name="_Ref130985951"/>
      <w:r/>
      <w:bookmarkStart w:id="184" w:name="_Ref186213053"/>
      <w:r>
        <w:t xml:space="preserve">Применение законодательства о национальном режиме</w:t>
      </w:r>
      <w:bookmarkEnd w:id="176"/>
      <w:r/>
      <w:bookmarkEnd w:id="177"/>
      <w:r/>
      <w:bookmarkEnd w:id="178"/>
      <w:r/>
      <w:bookmarkEnd w:id="179"/>
      <w:r/>
      <w:bookmarkEnd w:id="180"/>
      <w:r/>
      <w:bookmarkEnd w:id="181"/>
      <w:r/>
      <w:bookmarkEnd w:id="182"/>
      <w:r/>
      <w:bookmarkEnd w:id="183"/>
      <w:r/>
      <w:bookmarkEnd w:id="184"/>
      <w:r/>
      <w:r/>
    </w:p>
    <w:p>
      <w:pPr>
        <w:pStyle w:val="1338"/>
        <w:spacing w:before="120" w:after="0"/>
      </w:pPr>
      <w:r>
        <w:t xml:space="preserve">Настоящий подраздел применяется исходя из информации, установленной в подразделе </w:t>
      </w:r>
      <w:r>
        <w:fldChar w:fldCharType="begin"/>
      </w:r>
      <w:r>
        <w:instrText xml:space="preserve"> REF _Ref125359973 \r \h </w:instrText>
      </w:r>
      <w:r>
        <w:fldChar w:fldCharType="separate"/>
      </w:r>
      <w:r>
        <w:t xml:space="preserve">1.2</w:t>
      </w:r>
      <w:r>
        <w:fldChar w:fldCharType="end"/>
      </w:r>
      <w:r>
        <w:t xml:space="preserve">.</w:t>
      </w:r>
      <w:r/>
    </w:p>
    <w:p>
      <w:pPr>
        <w:pStyle w:val="1338"/>
        <w:spacing w:before="0" w:after="0"/>
      </w:pPr>
      <w:r/>
      <w:bookmarkStart w:id="185" w:name="_Ref207280314"/>
      <w:r>
        <w:t xml:space="preserve">Если в подразделе </w:t>
      </w:r>
      <w:r>
        <w:fldChar w:fldCharType="begin"/>
      </w:r>
      <w:r>
        <w:instrText xml:space="preserve"> REF _Ref125359973 \r \h </w:instrText>
      </w:r>
      <w:r>
        <w:fldChar w:fldCharType="separate"/>
      </w:r>
      <w:r>
        <w:t xml:space="preserve">1.2</w:t>
      </w:r>
      <w:r>
        <w:fldChar w:fldCharType="end"/>
      </w:r>
      <w:r>
        <w:t xml:space="preserve"> установлен режим запрета закупки иностранной продукции, то не до</w:t>
      </w:r>
      <w:r>
        <w:t xml:space="preserve">пускается заключение Договора на поставку такой продукции (на поставку товара иностранного происхождения / на оказание услуг иностранным лицом / на выполнение работ иностранным лицом) – соответствующая заявка отклоняется при рассмотрении заявок (подраздел </w:t>
      </w:r>
      <w:r>
        <w:fldChar w:fldCharType="begin"/>
      </w:r>
      <w:r>
        <w:instrText xml:space="preserve"> REF _Ref135749133 \r \h </w:instrText>
      </w:r>
      <w:r>
        <w:fldChar w:fldCharType="separate"/>
      </w:r>
      <w:r>
        <w:t xml:space="preserve">4.9</w:t>
      </w:r>
      <w:r>
        <w:fldChar w:fldCharType="end"/>
      </w:r>
      <w:r>
        <w:t xml:space="preserve">).</w:t>
      </w:r>
      <w:bookmarkEnd w:id="185"/>
      <w:r/>
      <w:r/>
    </w:p>
    <w:p>
      <w:pPr>
        <w:pStyle w:val="1338"/>
        <w:spacing w:before="0" w:after="0"/>
      </w:pPr>
      <w:r>
        <w:t xml:space="preserve">Если в подразделе </w:t>
      </w:r>
      <w:r>
        <w:fldChar w:fldCharType="begin"/>
      </w:r>
      <w:r>
        <w:instrText xml:space="preserve"> REF _Ref125359973 \r \h </w:instrText>
      </w:r>
      <w:r>
        <w:fldChar w:fldCharType="separate"/>
      </w:r>
      <w:r>
        <w:t xml:space="preserve">1.2</w:t>
      </w:r>
      <w:r>
        <w:fldChar w:fldCharType="end"/>
      </w:r>
      <w:r>
        <w:t xml:space="preserve"> установлен режим ограничения закупки иностранной продукции, то не допускается заключение Договора на поставку такой продукции, если была подана и по результатам </w:t>
      </w:r>
      <w:r>
        <w:t xml:space="preserve">рассмотрения заявок допущена заявка с российской продукцией (на поставку товара российского происхождения / на оказание услуг российским лицом / на выполнение работ российским лицом), – соответствующая заявка отклоняется при рассмотрении заявок (подраздел </w:t>
      </w:r>
      <w:r>
        <w:fldChar w:fldCharType="begin"/>
      </w:r>
      <w:r>
        <w:instrText xml:space="preserve"> REF _Ref135749133 \r \h </w:instrText>
      </w:r>
      <w:r>
        <w:fldChar w:fldCharType="separate"/>
      </w:r>
      <w:r>
        <w:t xml:space="preserve">4.9</w:t>
      </w:r>
      <w:r>
        <w:fldChar w:fldCharType="end"/>
      </w:r>
      <w:r>
        <w:t xml:space="preserve">).</w:t>
      </w:r>
      <w:r/>
    </w:p>
    <w:p>
      <w:pPr>
        <w:pStyle w:val="1338"/>
        <w:spacing w:before="0" w:after="0"/>
      </w:pPr>
      <w:r>
        <w:t xml:space="preserve">Если в подразделе </w:t>
      </w:r>
      <w:r>
        <w:fldChar w:fldCharType="begin"/>
      </w:r>
      <w:r>
        <w:instrText xml:space="preserve"> REF _Ref125359973 \r \h </w:instrText>
      </w:r>
      <w:r>
        <w:fldChar w:fldCharType="separate"/>
      </w:r>
      <w:r>
        <w:t xml:space="preserve">1.2</w:t>
      </w:r>
      <w:r>
        <w:fldChar w:fldCharType="end"/>
      </w:r>
      <w:r>
        <w:t xml:space="preserve"> установлен режим преимущества российской продукции, то при оценке и сопоставлении заявок, а также их ранжировке (подраздел </w:t>
      </w:r>
      <w:r>
        <w:fldChar w:fldCharType="begin"/>
      </w:r>
      <w:r>
        <w:instrText xml:space="preserve"> REF _Ref125362626 \r \h </w:instrText>
      </w:r>
      <w:r>
        <w:fldChar w:fldCharType="separate"/>
      </w:r>
      <w:r>
        <w:t xml:space="preserve">4.12</w:t>
      </w:r>
      <w:r>
        <w:fldChar w:fldCharType="end"/>
      </w:r>
      <w:r>
        <w:t xml:space="preserve">), осуществляется снижение</w:t>
      </w:r>
      <w:r>
        <w:rPr>
          <w:rStyle w:val="1307"/>
        </w:rPr>
        <w:footnoteReference w:id="8"/>
      </w:r>
      <w:r>
        <w:t xml:space="preserve"> на 15% (пятнадцать процентов) итоговой стоимости заявки (цены Договора), поданной и допущенной заявки с российской продукцией (на поставку товара российского происхождения </w:t>
      </w:r>
      <w:bookmarkStart w:id="186" w:name="_Hlk198901350"/>
      <w:r>
        <w:t xml:space="preserve">(в том числе поставляемых при выполнении закупаемых работ, оказании закупаемых услуг))</w:t>
      </w:r>
      <w:bookmarkEnd w:id="186"/>
      <w:r>
        <w:t xml:space="preserve">, при условии наличия допущенной заявки с иностранной продукцией (на поставку товара иностранного происхождения).</w:t>
      </w:r>
      <w:r/>
    </w:p>
    <w:p>
      <w:pPr>
        <w:pStyle w:val="1338"/>
        <w:spacing w:before="0" w:after="0"/>
      </w:pPr>
      <w:r/>
      <w:bookmarkStart w:id="187" w:name="_Ref196303561"/>
      <w:r/>
      <w:bookmarkStart w:id="188" w:name="_Ref192700787"/>
      <w:r>
        <w:t xml:space="preserve">Если в подразделе </w:t>
      </w:r>
      <w:r>
        <w:fldChar w:fldCharType="begin"/>
      </w:r>
      <w:r>
        <w:instrText xml:space="preserve"> REF _Ref125359973 \r \h </w:instrText>
      </w:r>
      <w:r>
        <w:fldChar w:fldCharType="separate"/>
      </w:r>
      <w:r>
        <w:t xml:space="preserve">1.2</w:t>
      </w:r>
      <w:r>
        <w:fldChar w:fldCharType="end"/>
      </w:r>
      <w:r>
        <w:t xml:space="preserve"> установлено, что Заказчи</w:t>
      </w:r>
      <w:r>
        <w:t xml:space="preserve">к исполняет нормы в части минимальной обязательной доли закупок товаров российского происхождения, то не допускается заключение Договора на поставку товара иностранного происхождения, – соответствующая заявка отклоняется при рассмотрении заявок (подраздел </w:t>
      </w:r>
      <w:r>
        <w:fldChar w:fldCharType="begin"/>
      </w:r>
      <w:r>
        <w:instrText xml:space="preserve"> REF _Ref135749133 \r \h </w:instrText>
      </w:r>
      <w:r>
        <w:fldChar w:fldCharType="separate"/>
      </w:r>
      <w:r>
        <w:t xml:space="preserve">4.9</w:t>
      </w:r>
      <w:r>
        <w:fldChar w:fldCharType="end"/>
      </w:r>
      <w:r>
        <w:t xml:space="preserve">).</w:t>
      </w:r>
      <w:bookmarkEnd w:id="187"/>
      <w:r/>
      <w:bookmarkEnd w:id="188"/>
      <w:r/>
      <w:r/>
    </w:p>
    <w:p>
      <w:pPr>
        <w:pStyle w:val="1338"/>
        <w:spacing w:before="0" w:after="0"/>
      </w:pPr>
      <w:r>
        <w:t xml:space="preserve">Состав и требования к сведениям и (или) перечню документов (их предоставлению Участником), которые подтверждают страну происхождения товара (страны ЕАЭС, включая Россию), в целях выполнения требований законодательства о национальном режиме (пункты </w:t>
      </w:r>
      <w:r>
        <w:fldChar w:fldCharType="begin"/>
      </w:r>
      <w:r>
        <w:instrText xml:space="preserve"> REF _Ref207280314 \r \h </w:instrText>
      </w:r>
      <w:r>
        <w:fldChar w:fldCharType="separate"/>
      </w:r>
      <w:r>
        <w:t xml:space="preserve">4.13.2</w:t>
      </w:r>
      <w:r>
        <w:fldChar w:fldCharType="end"/>
      </w:r>
      <w:r>
        <w:t xml:space="preserve"> – </w:t>
      </w:r>
      <w:r>
        <w:fldChar w:fldCharType="begin"/>
      </w:r>
      <w:r>
        <w:instrText xml:space="preserve"> REF _Ref192700787 \r \h </w:instrText>
      </w:r>
      <w:r>
        <w:fldChar w:fldCharType="separate"/>
      </w:r>
      <w:r>
        <w:t xml:space="preserve">4.13.5</w:t>
      </w:r>
      <w:r>
        <w:fldChar w:fldCharType="end"/>
      </w:r>
      <w:r>
        <w:t xml:space="preserve">), установлены в Структуре НМЦ (в составе Коммерческого предложения (форма 3) (</w:t>
      </w:r>
      <w:hyperlink w:tooltip="#Прил04_ФормыЗаявки" w:anchor="Прил04_ФормыЗаявки" w:history="1">
        <w:r>
          <w:rPr>
            <w:rStyle w:val="1311"/>
          </w:rPr>
          <w:t xml:space="preserve">Приложение № 4</w:t>
        </w:r>
      </w:hyperlink>
      <w:r>
        <w:t xml:space="preserve">), а также в Технических требованиях (Приложение №1) в части установления требований к подтверждающим документам.</w:t>
      </w:r>
      <w:r/>
    </w:p>
    <w:p>
      <w:pPr>
        <w:pStyle w:val="1338"/>
        <w:keepNext/>
        <w:spacing w:before="0" w:after="0"/>
      </w:pPr>
      <w:r>
        <w:t xml:space="preserve">Товар приравнивается к товарам, происходящим из иностранного государства (не являющегося государством – членом ЕАЭС), если:</w:t>
      </w:r>
      <w:r/>
    </w:p>
    <w:p>
      <w:pPr>
        <w:pStyle w:val="1339"/>
        <w:spacing w:before="120" w:after="0"/>
      </w:pPr>
      <w:r>
        <w:t xml:space="preserve">в отношении такого товара Участником не предоставлены в составе заявки требуемые Документацией о закупке подтверждающие сведения и (или) документы;</w:t>
      </w:r>
      <w:r/>
    </w:p>
    <w:p>
      <w:pPr>
        <w:pStyle w:val="1339"/>
        <w:spacing w:before="0" w:after="0"/>
      </w:pPr>
      <w:r>
        <w:t xml:space="preserve">в соответствии с реестровой записью из реестра российской промышленной продукции количество указанных баллов за выполнение (ос</w:t>
      </w:r>
      <w:r>
        <w:t xml:space="preserve">воение) на территории Российской Федерации соответствующих операций (условий) составляет меньшее значение по отношению к количеству баллов, определенных ПП 719 (в случае, если для такого товара ПП 719 установлены требования о совокупном количестве баллов).</w:t>
      </w:r>
      <w:r/>
    </w:p>
    <w:p>
      <w:pPr>
        <w:pStyle w:val="1338"/>
        <w:spacing w:before="120" w:after="0"/>
      </w:pPr>
      <w:r>
        <w:t xml:space="preserve">Если в подразделе </w:t>
      </w:r>
      <w:r>
        <w:fldChar w:fldCharType="begin"/>
      </w:r>
      <w:r>
        <w:instrText xml:space="preserve"> REF _Ref125359973 \r \h </w:instrText>
      </w:r>
      <w:r>
        <w:fldChar w:fldCharType="separate"/>
      </w:r>
      <w:r>
        <w:t xml:space="preserve">1.2</w:t>
      </w:r>
      <w:r>
        <w:fldChar w:fldCharType="end"/>
      </w:r>
      <w:r>
        <w:t xml:space="preserve"> установлен режим запрета закупки иностранной продукции (в отношении</w:t>
      </w:r>
      <w:r>
        <w:t xml:space="preserve"> позиции № 146 приложения № 1 к ПП 1875), то заявка, содержащая предложение о поставке российского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w:t>
      </w:r>
      <w:r>
        <w:t xml:space="preserve">ержит информацию о соответствии предлагаемого программного обеспечения дополнительным требованиям к программному обеспечению в соответствии с ПП 325, приравнивается к заявке, содержащей предложение о поставке программного обеспечения, происходящего из инос</w:t>
      </w:r>
      <w:r>
        <w:t xml:space="preserve">транного государства (не являющегося государством – членом ЕАЭС), если на участие в закупке подана заявка (соответствующая установленным Документацией о закупке требованиям), содержащая предложение о поставке программного обеспечения, реестровая запись о к</w:t>
      </w:r>
      <w:r>
        <w:t xml:space="preserve">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 в соответствии с ПП 325.</w:t>
      </w:r>
      <w:r/>
    </w:p>
    <w:p>
      <w:pPr>
        <w:pStyle w:val="1338"/>
        <w:spacing w:before="0" w:after="0"/>
      </w:pPr>
      <w:r>
        <w:t xml:space="preserve">Если в подразделе </w:t>
      </w:r>
      <w:r>
        <w:fldChar w:fldCharType="begin"/>
      </w:r>
      <w:r>
        <w:instrText xml:space="preserve"> REF _Ref125359973 \r \h </w:instrText>
      </w:r>
      <w:r>
        <w:fldChar w:fldCharType="separate"/>
      </w:r>
      <w:r>
        <w:t xml:space="preserve">1.2</w:t>
      </w:r>
      <w:r>
        <w:fldChar w:fldCharType="end"/>
      </w:r>
      <w:r>
        <w:t xml:space="preserve"> установлен режим ограничения закупки иностранной продукции (в отношении позиций №№ 195, 197 – 199, 203 приложения № 2 к ПП 1875), то заявка, содержащая предложение о поставке российской радиоэлектронной продукции, но не я</w:t>
      </w:r>
      <w:r>
        <w:t xml:space="preserve">вляющейся в соответствии с ПП 719 радиоэлектронной продукцией первого уровня, приравнивается к заявке, содержащей предложение о поставке радиоэлектронной продукции из иностранного государства (не являющегося государством – членом ЕАЭС), если на участие в з</w:t>
      </w:r>
      <w:r>
        <w:t xml:space="preserve">акупке подана заявка (соответствующая установленным Документацией о закупке требованиям), содержащая предложение о поставке радиоэлектронной продукции российского происхождения, являющейся в соответствии с ПП 719 радиоэлектронной продукцией первого уровня.</w:t>
      </w:r>
      <w:r/>
    </w:p>
    <w:p>
      <w:pPr>
        <w:pStyle w:val="1338"/>
        <w:spacing w:before="0" w:after="0"/>
      </w:pPr>
      <w:r/>
      <w:bookmarkStart w:id="189" w:name="_Hlk191561456"/>
      <w:r>
        <w:t xml:space="preserve">Если Договор был заключен по результатам закупки, в которой был установлен режим запрета закупки иностранных товаров, выпол</w:t>
      </w:r>
      <w:r>
        <w:t xml:space="preserve">нения работ и (или) оказания услуг иностранным лицом, то не допускается при исполнении такого Договора: замена закупаемого товара на товар, происходящий из иностранного государства, в отношении которого в закупке был установлен запрет; перемена подрядчика </w:t>
      </w:r>
      <w:r>
        <w:t xml:space="preserve">(исполнителя)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89"/>
      <w:r>
        <w:t xml:space="preserve">.</w:t>
      </w:r>
      <w:r/>
    </w:p>
    <w:p>
      <w:pPr>
        <w:pStyle w:val="1338"/>
        <w:spacing w:before="0" w:after="0"/>
      </w:pPr>
      <w:r>
        <w:t xml:space="preserve">Если Договор был заключен по результатам закупки, в которой был установлен режим ограничения закупки иностранных товаров, то </w:t>
      </w:r>
      <w:r>
        <w:t xml:space="preserve">не допускается при исполнении такого Договора замена закупаемого товара на товар, происходящий из иностранного государства, в отношении которого в закупке было установлено ограничение, если Договор предусматривает поставку товара российского происхождения.</w:t>
      </w:r>
      <w:r/>
    </w:p>
    <w:p>
      <w:pPr>
        <w:pStyle w:val="1338"/>
        <w:spacing w:before="0" w:after="0"/>
      </w:pPr>
      <w:r>
        <w:t xml:space="preserve">Если Договор был заключен по результатам закупки, в которой был установлен режим преимущество в отношении товара российского происхождения, то н</w:t>
      </w:r>
      <w:r>
        <w:t xml:space="preserve">е допускается при исполнении такого Договора замена закупаемого товара на товар, происходящий из иностранного государства, в отношении которого в закупке было установлено преимущество, если Договор предусматривает поставку товара российского происхождения.</w:t>
      </w:r>
      <w:r/>
    </w:p>
    <w:p>
      <w:pPr>
        <w:pStyle w:val="1337"/>
        <w:spacing w:before="360" w:after="0"/>
      </w:pPr>
      <w:r/>
      <w:bookmarkStart w:id="190" w:name="_Toc230928855"/>
      <w:r/>
      <w:bookmarkStart w:id="191" w:name="_Ref125367242"/>
      <w:r/>
      <w:bookmarkStart w:id="192" w:name="_Ref125366091"/>
      <w:r/>
      <w:bookmarkStart w:id="193" w:name="_Ref125362658"/>
      <w:r>
        <w:t xml:space="preserve">Подведение итогов закупки (определение Победителя)</w:t>
      </w:r>
      <w:bookmarkEnd w:id="190"/>
      <w:r/>
      <w:bookmarkEnd w:id="191"/>
      <w:r/>
      <w:bookmarkEnd w:id="192"/>
      <w:r/>
      <w:bookmarkEnd w:id="193"/>
      <w:r/>
      <w:r/>
    </w:p>
    <w:p>
      <w:pPr>
        <w:pStyle w:val="1338"/>
        <w:spacing w:before="120" w:after="0"/>
      </w:pPr>
      <w:r>
        <w:t xml:space="preserve">Дата окончания срока подведения итогов закупки указана в подразделе </w:t>
      </w:r>
      <w:r>
        <w:fldChar w:fldCharType="begin"/>
      </w:r>
      <w:r>
        <w:instrText xml:space="preserve"> REF _Ref125359973 \r \h </w:instrText>
      </w:r>
      <w:r>
        <w:fldChar w:fldCharType="separate"/>
      </w:r>
      <w:r>
        <w:t xml:space="preserve">1.2</w:t>
      </w:r>
      <w:r>
        <w:fldChar w:fldCharType="end"/>
      </w:r>
      <w:r>
        <w:t xml:space="preserve">. Организатор по согласованию с Заказчиком вправе, при необходимости, изменить данный срок, официально разместив информацию об этом.</w:t>
      </w:r>
      <w:r/>
    </w:p>
    <w:p>
      <w:pPr>
        <w:pStyle w:val="1338"/>
        <w:spacing w:before="0" w:after="0"/>
      </w:pPr>
      <w:r>
        <w:t xml:space="preserve">Н</w:t>
      </w:r>
      <w:r>
        <w:t xml:space="preserve">а основании полученных результатов оценки и сопоставления заявок Организатор подводит итоги закупки. Победителем закупки признается Участник, заявка которого заняла 1 (первое) место в ранжировке заявок по итогам рассмотрения, оценки и сопоставления заявок.</w:t>
      </w:r>
      <w:r/>
    </w:p>
    <w:p>
      <w:pPr>
        <w:pStyle w:val="1338"/>
        <w:spacing w:before="0" w:after="0"/>
      </w:pPr>
      <w:r>
        <w:t xml:space="preserve">Перед окончательным определением Победителя Организатор вправе потребовать от Участника, занявшего верхнее место в ранжировке, прохождения процедуры постквалификации. В рамках постквалификации Организатор вправе запросить</w:t>
      </w:r>
      <w:r>
        <w:t xml:space="preserve"> у Участника предоставление документов и (или) информации, подтверждающих представленные в заявке сведения, а также провести дополнительную проверку достоверности представленных документов и информации. Постквалификация проводится по отборочным критериям (</w:t>
      </w:r>
      <w:hyperlink w:tooltip="#Прил07_ОтборочныеКритерии" w:anchor="Прил07_ОтборочныеКритерии" w:history="1">
        <w:r>
          <w:rPr>
            <w:rStyle w:val="1311"/>
          </w:rPr>
          <w:t xml:space="preserve">Приложение № 7</w:t>
        </w:r>
      </w:hyperlink>
      <w:r>
        <w:t xml:space="preserve">), относящимся к соответс</w:t>
      </w:r>
      <w:r>
        <w:t xml:space="preserve">твию Участника установленным требованиям Документации о закупке. Заявка Участника, не отвечающего необходимым требованиям, отклоняется, при этом Организатор вправе продолжить процедуру проверки в отношении Участника, занявшего следующее место в ранжировке.</w:t>
      </w:r>
      <w:r/>
    </w:p>
    <w:p>
      <w:pPr>
        <w:pStyle w:val="1338"/>
        <w:spacing w:before="0" w:after="0"/>
      </w:pPr>
      <w:r>
        <w:t xml:space="preserve">Если к моменту подведения итогов закупки с выбором в качестве Победителя ранее аккредитованного Участника прошло более 6 (шести) календарных месяцев с даты присвоения</w:t>
      </w:r>
      <w:r>
        <w:t xml:space="preserve"> ему статуса «аккредитован» / «аккредитация не требуется», перед окончательным определением Победителя проводится процедура актуализации статуса аккредитации данного Участника. Если по результатам такой проверки Участнику присвоен статус «не аккредитован»,</w:t>
      </w:r>
      <w:r>
        <w:t xml:space="preserve"> его заявка отклоняется, а Закупочная комиссия имеет право выбрать в качестве Победителя иного Участника, занявшего следующее после него место в ранжировке заявок, из числа остальных действующих заявок (при наличии у него актуального статуса аккредитации).</w:t>
      </w:r>
      <w:r/>
    </w:p>
    <w:p>
      <w:pPr>
        <w:pStyle w:val="1338"/>
        <w:keepNext/>
        <w:spacing w:before="0" w:after="0"/>
      </w:pPr>
      <w:r/>
      <w:bookmarkStart w:id="194" w:name="_Ref125365974"/>
      <w:r>
        <w:t xml:space="preserve">Решение Закупочной комиссии по определению Победителя оформляется итоговым протоколом по результатам закупки, в котором, как минимум, указываются</w:t>
      </w:r>
      <w:r>
        <w:rPr>
          <w:rStyle w:val="1307"/>
        </w:rPr>
        <w:footnoteReference w:id="9"/>
      </w:r>
      <w:r>
        <w:t xml:space="preserve">:</w:t>
      </w:r>
      <w:bookmarkEnd w:id="194"/>
      <w:r/>
      <w:r/>
    </w:p>
    <w:p>
      <w:pPr>
        <w:pStyle w:val="1339"/>
        <w:spacing w:before="120" w:after="0"/>
      </w:pPr>
      <w:r>
        <w:t xml:space="preserve">дата подписания протокола;</w:t>
      </w:r>
      <w:r/>
    </w:p>
    <w:p>
      <w:pPr>
        <w:pStyle w:val="1339"/>
        <w:spacing w:before="0" w:after="0"/>
      </w:pPr>
      <w:r>
        <w:t xml:space="preserve">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r/>
    </w:p>
    <w:p>
      <w:pPr>
        <w:pStyle w:val="1339"/>
        <w:spacing w:before="0" w:after="0"/>
      </w:pPr>
      <w:r>
        <w:t xml:space="preserve">наименования Участников, заявки которых были допущены по результатам рассмотрения заявок, и (или) их идентификационные номера, присваиваемые Оператором ЭП;</w:t>
      </w:r>
      <w:r/>
    </w:p>
    <w:p>
      <w:pPr>
        <w:pStyle w:val="1339"/>
        <w:keepNext/>
        <w:spacing w:before="0" w:after="0"/>
      </w:pPr>
      <w:r>
        <w:t xml:space="preserve">результаты дополнительного рассмотрения заявок (при возникновении оснований для отклонения заявок по результатам проведения постквалификации или актуализации статуса аккредитации, если такие процедуры проводились) с указанием, в том числе:</w:t>
      </w:r>
      <w:r/>
    </w:p>
    <w:p>
      <w:pPr>
        <w:pStyle w:val="1340"/>
        <w:spacing w:before="120" w:after="0"/>
      </w:pPr>
      <w:r>
        <w:t xml:space="preserve">количества заявок, которые были отклонены;</w:t>
      </w:r>
      <w:r/>
    </w:p>
    <w:p>
      <w:pPr>
        <w:pStyle w:val="1340"/>
        <w:spacing w:before="0" w:after="0"/>
      </w:pPr>
      <w:r>
        <w:t xml:space="preserve">оснований отклонения каждой заявки с указанием положений Документации о закупке, которым не соответствует такая заявка;</w:t>
      </w:r>
      <w:r/>
    </w:p>
    <w:p>
      <w:pPr>
        <w:pStyle w:val="1339"/>
        <w:spacing w:before="120" w:after="0"/>
      </w:pPr>
      <w:r>
        <w:t xml:space="preserve">результаты оценки и сопоставления заявок с указанием, в том числе значения (в баллах), присвоенного каждой заявке по каждому из предусмотренных критериев оценки, установленных в Документации о закупке;</w:t>
      </w:r>
      <w:r/>
    </w:p>
    <w:p>
      <w:pPr>
        <w:pStyle w:val="1339"/>
        <w:spacing w:before="0" w:after="0"/>
      </w:pPr>
      <w:r/>
      <w:bookmarkStart w:id="195" w:name="_Hlk149651367"/>
      <w:r>
        <w:t xml:space="preserve">порядковые номера кажд</w:t>
      </w:r>
      <w:r>
        <w:t xml:space="preserve">ой заявки (с указанием стоимостей заявок (цен Договоров), допущенной по результатам рассмотрения заявок, в том числе с учетом результатов актуализации статуса аккредитации и проведения переторжки (если указанные процедуры проводились), в ранжировке заявок;</w:t>
      </w:r>
      <w:bookmarkEnd w:id="195"/>
      <w:r/>
      <w:r/>
    </w:p>
    <w:p>
      <w:pPr>
        <w:pStyle w:val="1339"/>
        <w:spacing w:before="0" w:after="0"/>
      </w:pPr>
      <w:r>
        <w:t xml:space="preserve">наименование Победителя закупки или Единственного участника несостоявшейся закупки, с которым планируется заключить Договор;</w:t>
      </w:r>
      <w:r/>
    </w:p>
    <w:p>
      <w:pPr>
        <w:pStyle w:val="1339"/>
        <w:spacing w:before="0" w:after="0"/>
      </w:pPr>
      <w:r>
        <w:t xml:space="preserve">причины, по которым закупка признана несостоявшейся (в случае ее признания таковой),</w:t>
      </w:r>
      <w:r/>
    </w:p>
    <w:p>
      <w:pPr>
        <w:pStyle w:val="1342"/>
        <w:ind w:left="1134" w:firstLine="0"/>
      </w:pPr>
      <w:r>
        <w:t xml:space="preserve">после чего Организатор официально размещает его в течение 3 (трех) календарных дней с даты подписания такого протокола.</w:t>
      </w:r>
      <w:r/>
    </w:p>
    <w:p>
      <w:pPr>
        <w:pStyle w:val="1338"/>
        <w:spacing w:before="120" w:after="0"/>
      </w:pPr>
      <w:r>
        <w:t xml:space="preserve">Победитель дополнительно уведомляется о результатах проводимой закупки с использованием ЭП – уведомление направляется Оператором ЭП согласно Регламенту ЭП.</w:t>
      </w:r>
      <w:r/>
    </w:p>
    <w:p>
      <w:pPr>
        <w:pStyle w:val="1338"/>
        <w:spacing w:before="0" w:after="0"/>
      </w:pPr>
      <w:r>
        <w:t xml:space="preserve">Если между официа</w:t>
      </w:r>
      <w:r>
        <w:t xml:space="preserve">льным размещением итогового протокола по результатам закупки и подписанием Договора изменится Победитель (например, вследствие уклонения Победителя или потери им статуса), информация о новом Победителе официально размещается Организатором в том же порядке.</w:t>
      </w:r>
      <w:r/>
    </w:p>
    <w:p>
      <w:pPr>
        <w:pStyle w:val="1337"/>
        <w:spacing w:before="360" w:after="0"/>
      </w:pPr>
      <w:r/>
      <w:bookmarkStart w:id="196" w:name="_Toc230928856"/>
      <w:r/>
      <w:bookmarkStart w:id="197" w:name="_Ref125366796"/>
      <w:r/>
      <w:bookmarkStart w:id="198" w:name="_Ref125366631"/>
      <w:r/>
      <w:bookmarkStart w:id="199" w:name="_Ref125365570"/>
      <w:r/>
      <w:bookmarkStart w:id="200" w:name="_Ref125365305"/>
      <w:r/>
      <w:bookmarkStart w:id="201" w:name="_Ref125364187"/>
      <w:r/>
      <w:bookmarkStart w:id="202" w:name="_Ref125364149"/>
      <w:r>
        <w:t xml:space="preserve">Признание закупки несостоявшейся</w:t>
      </w:r>
      <w:bookmarkEnd w:id="196"/>
      <w:r/>
      <w:bookmarkEnd w:id="197"/>
      <w:r/>
      <w:bookmarkEnd w:id="198"/>
      <w:r/>
      <w:bookmarkEnd w:id="199"/>
      <w:r/>
      <w:bookmarkEnd w:id="200"/>
      <w:r/>
      <w:bookmarkEnd w:id="201"/>
      <w:r/>
      <w:bookmarkEnd w:id="202"/>
      <w:r/>
      <w:r/>
    </w:p>
    <w:p>
      <w:pPr>
        <w:pStyle w:val="1338"/>
        <w:keepNext/>
        <w:spacing w:before="120" w:after="0"/>
      </w:pPr>
      <w:r>
        <w:t xml:space="preserve">Закупка признается несостоявшейся в следующих случаях:</w:t>
      </w:r>
      <w:r/>
    </w:p>
    <w:p>
      <w:pPr>
        <w:pStyle w:val="1339"/>
        <w:spacing w:before="120" w:after="0"/>
      </w:pPr>
      <w:r>
        <w:t xml:space="preserve">если по окончанию срока подачи заявок поступило менее 2 (двух) заявок (с учетом возможных отзывов заявок);</w:t>
      </w:r>
      <w:r/>
    </w:p>
    <w:p>
      <w:pPr>
        <w:pStyle w:val="1339"/>
        <w:spacing w:before="0" w:after="0"/>
      </w:pPr>
      <w:r>
        <w:t xml:space="preserve">по результатам рассмотрения заявок Закупочной комиссией принято решение о признании менее 2 (двух) заявок соответствующими требованиям Документации о закупки;</w:t>
      </w:r>
      <w:r/>
    </w:p>
    <w:p>
      <w:pPr>
        <w:pStyle w:val="1339"/>
        <w:spacing w:before="0" w:after="0"/>
      </w:pPr>
      <w:r>
        <w:t xml:space="preserve">по результатам проведения закупки от заключения договора уклонились все допущенные Участники (подраздел </w:t>
      </w:r>
      <w:r>
        <w:fldChar w:fldCharType="begin"/>
      </w:r>
      <w:r>
        <w:instrText xml:space="preserve"> REF _Ref125367068 \r \h </w:instrText>
      </w:r>
      <w:r>
        <w:fldChar w:fldCharType="separate"/>
      </w:r>
      <w:r>
        <w:t xml:space="preserve">5.4</w:t>
      </w:r>
      <w:r>
        <w:fldChar w:fldCharType="end"/>
      </w:r>
      <w:r>
        <w:t xml:space="preserve">).</w:t>
      </w:r>
      <w:r/>
    </w:p>
    <w:p>
      <w:pPr>
        <w:pStyle w:val="1338"/>
        <w:spacing w:before="120" w:after="0"/>
      </w:pPr>
      <w:r>
        <w:t xml:space="preserve">Указанные обстоятельства в случае их наступления фиксируются в соответствующем протоколе, оформляемом по результатам проведения закупки (или ее этапа).</w:t>
      </w:r>
      <w:r/>
    </w:p>
    <w:p>
      <w:pPr>
        <w:pStyle w:val="1338"/>
        <w:keepNext/>
        <w:spacing w:before="0" w:after="0"/>
      </w:pPr>
      <w:r>
        <w:t xml:space="preserve">В случае признания закупки несостоявшейся (с учетом условий, предусмотренных Положением о закупке):</w:t>
      </w:r>
      <w:r/>
    </w:p>
    <w:p>
      <w:pPr>
        <w:pStyle w:val="1339"/>
      </w:pPr>
      <w:r>
        <w:t xml:space="preserve">если поступила только 1 (одна) заявка от одного Участника (с учетом отозванных Участниками заявок), либо по резуль</w:t>
      </w:r>
      <w:r>
        <w:t xml:space="preserve">татам рассмотрения заявок (или постквалификации, если проводилась) принято решение о признании только 1 (одной) заявки соответствующей требованиям Документации о закупке – Заказчик заключает договор с Единственным участником несостоявшейся закупки (раздел </w:t>
      </w:r>
      <w:r>
        <w:fldChar w:fldCharType="begin"/>
      </w:r>
      <w:r>
        <w:instrText xml:space="preserve"> REF _Ref126142429 \r \h </w:instrText>
      </w:r>
      <w:r>
        <w:fldChar w:fldCharType="separate"/>
      </w:r>
      <w:r>
        <w:t xml:space="preserve">5</w:t>
      </w:r>
      <w:r>
        <w:fldChar w:fldCharType="end"/>
      </w:r>
      <w:r>
        <w:t xml:space="preserve">) (при наличии экономической целесообразности и/или при условии отсутствия времени на повторное проведение закупки).</w:t>
      </w:r>
      <w:r/>
    </w:p>
    <w:p>
      <w:pPr>
        <w:pStyle w:val="1365"/>
        <w:numPr>
          <w:ilvl w:val="0"/>
          <w:numId w:val="0"/>
        </w:numPr>
        <w:ind w:left="1701" w:firstLine="0"/>
        <w:rPr>
          <w:sz w:val="26"/>
          <w:szCs w:val="26"/>
        </w:rPr>
      </w:pPr>
      <w:r>
        <w:rPr>
          <w:sz w:val="26"/>
          <w:szCs w:val="26"/>
        </w:rPr>
        <w:t xml:space="preserve">В случае отсутствия экономической целесообразности и/или при наличии времени на повторное проведение закупки, Заказчик принимает одно из следующих решений в порядке приоритета:</w:t>
      </w:r>
      <w:r>
        <w:rPr>
          <w:sz w:val="26"/>
          <w:szCs w:val="26"/>
        </w:rPr>
      </w:r>
      <w:r>
        <w:rPr>
          <w:sz w:val="26"/>
          <w:szCs w:val="26"/>
        </w:rPr>
      </w:r>
    </w:p>
    <w:p>
      <w:pPr>
        <w:pStyle w:val="1366"/>
        <w:numPr>
          <w:ilvl w:val="0"/>
          <w:numId w:val="19"/>
        </w:numPr>
        <w:ind w:left="2127" w:hanging="426"/>
        <w:spacing w:before="0" w:after="0"/>
        <w:tabs>
          <w:tab w:val="clear" w:pos="2552" w:leader="none"/>
        </w:tabs>
        <w:rPr>
          <w:sz w:val="26"/>
          <w:szCs w:val="26"/>
        </w:rPr>
      </w:pPr>
      <w:r>
        <w:rPr>
          <w:sz w:val="26"/>
          <w:szCs w:val="26"/>
        </w:rPr>
        <w:t xml:space="preserve">повторное проведение закупки (с изменением способа закупки, если применимо в соответствии с Положением о закупке);</w:t>
      </w:r>
      <w:r>
        <w:rPr>
          <w:sz w:val="26"/>
          <w:szCs w:val="26"/>
        </w:rPr>
      </w:r>
      <w:r>
        <w:rPr>
          <w:sz w:val="26"/>
          <w:szCs w:val="26"/>
        </w:rPr>
      </w:r>
    </w:p>
    <w:p>
      <w:pPr>
        <w:pStyle w:val="1366"/>
        <w:numPr>
          <w:ilvl w:val="0"/>
          <w:numId w:val="19"/>
        </w:numPr>
        <w:ind w:left="1701" w:firstLine="0"/>
        <w:spacing w:before="0" w:after="0"/>
        <w:tabs>
          <w:tab w:val="clear" w:pos="2552" w:leader="none"/>
        </w:tabs>
        <w:rPr>
          <w:sz w:val="26"/>
          <w:szCs w:val="26"/>
        </w:rPr>
      </w:pPr>
      <w:r>
        <w:rPr>
          <w:sz w:val="26"/>
          <w:szCs w:val="26"/>
        </w:rPr>
        <w:t xml:space="preserve">отказ от заключения договора по следующим основаниям:</w:t>
      </w:r>
      <w:r>
        <w:rPr>
          <w:sz w:val="26"/>
          <w:szCs w:val="26"/>
        </w:rPr>
      </w:r>
      <w:r>
        <w:rPr>
          <w:sz w:val="26"/>
          <w:szCs w:val="26"/>
        </w:rPr>
      </w:r>
    </w:p>
    <w:p>
      <w:pPr>
        <w:pStyle w:val="1366"/>
        <w:numPr>
          <w:ilvl w:val="0"/>
          <w:numId w:val="20"/>
        </w:numPr>
        <w:ind w:left="2410" w:hanging="283"/>
        <w:spacing w:before="0" w:after="0"/>
        <w:tabs>
          <w:tab w:val="clear" w:pos="2552" w:leader="none"/>
        </w:tabs>
        <w:rPr>
          <w:sz w:val="26"/>
          <w:szCs w:val="26"/>
        </w:rPr>
      </w:pPr>
      <w:r>
        <w:rPr>
          <w:sz w:val="26"/>
          <w:szCs w:val="26"/>
        </w:rPr>
        <w:t xml:space="preserve">изменение финансовых, инвестиционных, производственных и иных программ, оказавших влияние на потребность в данной закупке;</w:t>
      </w:r>
      <w:r>
        <w:rPr>
          <w:sz w:val="26"/>
          <w:szCs w:val="26"/>
        </w:rPr>
      </w:r>
      <w:r>
        <w:rPr>
          <w:sz w:val="26"/>
          <w:szCs w:val="26"/>
        </w:rPr>
      </w:r>
    </w:p>
    <w:p>
      <w:pPr>
        <w:pStyle w:val="1366"/>
        <w:numPr>
          <w:ilvl w:val="0"/>
          <w:numId w:val="20"/>
        </w:numPr>
        <w:ind w:left="2410" w:hanging="283"/>
        <w:spacing w:before="0" w:after="0"/>
        <w:tabs>
          <w:tab w:val="clear" w:pos="2552" w:leader="none"/>
        </w:tabs>
        <w:rPr>
          <w:sz w:val="26"/>
          <w:szCs w:val="26"/>
        </w:rPr>
      </w:pPr>
      <w:r>
        <w:rPr>
          <w:sz w:val="26"/>
          <w:szCs w:val="26"/>
        </w:rPr>
        <w:t xml:space="preserve">изменение потребности в продукции, в том числе изменение характеристик продукции, при наличии утверждения таких изменений;</w:t>
      </w:r>
      <w:r>
        <w:rPr>
          <w:sz w:val="26"/>
          <w:szCs w:val="26"/>
        </w:rPr>
      </w:r>
      <w:r>
        <w:rPr>
          <w:sz w:val="26"/>
          <w:szCs w:val="26"/>
        </w:rPr>
      </w:r>
    </w:p>
    <w:p>
      <w:pPr>
        <w:pStyle w:val="1366"/>
        <w:numPr>
          <w:ilvl w:val="0"/>
          <w:numId w:val="20"/>
        </w:numPr>
        <w:ind w:left="2410" w:hanging="283"/>
        <w:spacing w:before="0" w:after="0"/>
        <w:tabs>
          <w:tab w:val="clear" w:pos="2552" w:leader="none"/>
        </w:tabs>
        <w:rPr>
          <w:sz w:val="26"/>
          <w:szCs w:val="26"/>
        </w:rPr>
      </w:pPr>
      <w:r>
        <w:rPr>
          <w:sz w:val="26"/>
          <w:szCs w:val="26"/>
        </w:rPr>
        <w:t xml:space="preserve">необходимость исполнения предписаний антимонопольного органа;</w:t>
      </w:r>
      <w:r>
        <w:rPr>
          <w:sz w:val="26"/>
          <w:szCs w:val="26"/>
        </w:rPr>
      </w:r>
      <w:r>
        <w:rPr>
          <w:sz w:val="26"/>
          <w:szCs w:val="26"/>
        </w:rPr>
      </w:r>
    </w:p>
    <w:p>
      <w:pPr>
        <w:pStyle w:val="1366"/>
        <w:numPr>
          <w:ilvl w:val="0"/>
          <w:numId w:val="19"/>
        </w:numPr>
        <w:ind w:left="2127" w:hanging="426"/>
        <w:tabs>
          <w:tab w:val="clear" w:pos="2552" w:leader="none"/>
        </w:tabs>
        <w:rPr>
          <w:sz w:val="26"/>
          <w:szCs w:val="26"/>
        </w:rPr>
      </w:pPr>
      <w:r/>
      <w:bookmarkStart w:id="203" w:name="_Hlk214281841"/>
      <w:r>
        <w:rPr>
          <w:sz w:val="26"/>
          <w:szCs w:val="26"/>
        </w:rPr>
        <w:t xml:space="preserve">отказ от дополнительного повторного проведения закупки (при отсутствии заявок, соответствующих установленным требованиям, по результатам повторного проведения закупки);</w:t>
      </w:r>
      <w:bookmarkEnd w:id="203"/>
      <w:r>
        <w:rPr>
          <w:sz w:val="26"/>
          <w:szCs w:val="26"/>
        </w:rPr>
      </w:r>
      <w:r>
        <w:rPr>
          <w:sz w:val="26"/>
          <w:szCs w:val="26"/>
        </w:rPr>
      </w:r>
    </w:p>
    <w:p>
      <w:pPr>
        <w:pStyle w:val="1339"/>
      </w:pPr>
      <w:r>
        <w:t xml:space="preserve">если не поступило ни одной заявки, либо по результатам рассмотрения заявок (или постквалификации, если проводилась), принято решение о признании их не соответствующими т</w:t>
      </w:r>
      <w:r>
        <w:t xml:space="preserve">ребованиям Документации о закупке, либо по результатам проведения закупки от заключения договора уклонились все допущенные Участники – Заказчик проводит повторную закупку (с изменением способа закупки, если применимо в соответствии с Положением о закупке).</w:t>
      </w:r>
      <w:r/>
    </w:p>
    <w:p>
      <w:pPr>
        <w:pStyle w:val="1365"/>
        <w:numPr>
          <w:ilvl w:val="0"/>
          <w:numId w:val="0"/>
        </w:numPr>
        <w:ind w:left="1701" w:firstLine="0"/>
        <w:rPr>
          <w:sz w:val="26"/>
          <w:szCs w:val="26"/>
        </w:rPr>
      </w:pPr>
      <w:r>
        <w:rPr>
          <w:sz w:val="26"/>
          <w:szCs w:val="26"/>
        </w:rPr>
        <w:t xml:space="preserve">Заказчик вправе отказаться от проведения повторной закупки по следующим основаниям:</w:t>
      </w:r>
      <w:r>
        <w:rPr>
          <w:sz w:val="26"/>
          <w:szCs w:val="26"/>
        </w:rPr>
      </w:r>
      <w:r>
        <w:rPr>
          <w:sz w:val="26"/>
          <w:szCs w:val="26"/>
        </w:rPr>
      </w:r>
    </w:p>
    <w:p>
      <w:pPr>
        <w:pStyle w:val="1366"/>
        <w:numPr>
          <w:ilvl w:val="0"/>
          <w:numId w:val="20"/>
        </w:numPr>
        <w:ind w:left="2127" w:hanging="426"/>
        <w:spacing w:before="0" w:after="0"/>
        <w:tabs>
          <w:tab w:val="clear" w:pos="2552" w:leader="none"/>
        </w:tabs>
        <w:rPr>
          <w:sz w:val="26"/>
          <w:szCs w:val="26"/>
        </w:rPr>
      </w:pPr>
      <w:r>
        <w:rPr>
          <w:sz w:val="26"/>
          <w:szCs w:val="26"/>
        </w:rPr>
        <w:t xml:space="preserve">изменение финансовых, инвестиционных, производственных и иных программ, оказавших влияние на потребность в данной закупке;</w:t>
      </w:r>
      <w:r>
        <w:rPr>
          <w:sz w:val="26"/>
          <w:szCs w:val="26"/>
        </w:rPr>
      </w:r>
      <w:r>
        <w:rPr>
          <w:sz w:val="26"/>
          <w:szCs w:val="26"/>
        </w:rPr>
      </w:r>
    </w:p>
    <w:p>
      <w:pPr>
        <w:pStyle w:val="1366"/>
        <w:numPr>
          <w:ilvl w:val="0"/>
          <w:numId w:val="20"/>
        </w:numPr>
        <w:ind w:left="2127" w:hanging="426"/>
        <w:spacing w:before="0" w:after="0"/>
        <w:tabs>
          <w:tab w:val="clear" w:pos="2552" w:leader="none"/>
        </w:tabs>
        <w:rPr>
          <w:sz w:val="26"/>
          <w:szCs w:val="26"/>
        </w:rPr>
      </w:pPr>
      <w:r>
        <w:rPr>
          <w:sz w:val="26"/>
          <w:szCs w:val="26"/>
        </w:rPr>
        <w:t xml:space="preserve">изменение потребности в продукции, в том числе изменение характеристик продукции;</w:t>
      </w:r>
      <w:r>
        <w:rPr>
          <w:sz w:val="26"/>
          <w:szCs w:val="26"/>
        </w:rPr>
      </w:r>
      <w:r>
        <w:rPr>
          <w:sz w:val="26"/>
          <w:szCs w:val="26"/>
        </w:rPr>
      </w:r>
    </w:p>
    <w:p>
      <w:pPr>
        <w:pStyle w:val="1339"/>
        <w:numPr>
          <w:ilvl w:val="0"/>
          <w:numId w:val="17"/>
        </w:numPr>
        <w:ind w:left="2127" w:hanging="426"/>
      </w:pPr>
      <w:r>
        <w:rPr>
          <w:szCs w:val="26"/>
        </w:rPr>
        <w:t xml:space="preserve">при отсутствии заявок, соответствующих установленным требованиям, по результатам повторного проведения закупки</w:t>
      </w:r>
      <w:bookmarkStart w:id="204" w:name="_Hlk214281858"/>
      <w:r>
        <w:t xml:space="preserve">.</w:t>
      </w:r>
      <w:r/>
    </w:p>
    <w:p>
      <w:pPr>
        <w:pStyle w:val="1337"/>
        <w:spacing w:before="360" w:after="0"/>
      </w:pPr>
      <w:r/>
      <w:bookmarkStart w:id="205" w:name="_Toc230928857"/>
      <w:r/>
      <w:bookmarkStart w:id="206" w:name="_Ref126141962"/>
      <w:r/>
      <w:bookmarkEnd w:id="204"/>
      <w:r>
        <w:t xml:space="preserve">Отказ от проведения закупки</w:t>
      </w:r>
      <w:bookmarkEnd w:id="206"/>
      <w:r>
        <w:t xml:space="preserve"> (отмена закупки)</w:t>
      </w:r>
      <w:bookmarkEnd w:id="205"/>
      <w:r/>
      <w:r/>
    </w:p>
    <w:p>
      <w:pPr>
        <w:pStyle w:val="1338"/>
        <w:spacing w:before="120" w:after="0"/>
      </w:pPr>
      <w:r>
        <w:t xml:space="preserve">Организатор имеет право отказаться от проведения закупки не позднее окончания срока подачи заявок, не неся никакой ответственности перед Участниками или третьими лицами, которым такое действие может принести убытки.</w:t>
      </w:r>
      <w:r/>
    </w:p>
    <w:p>
      <w:pPr>
        <w:pStyle w:val="1338"/>
        <w:spacing w:before="0" w:after="0"/>
      </w:pPr>
      <w:r>
        <w:t xml:space="preserve">Организатор уведомляет всех Участников об отмене закупки посредством официального размещения информации в день принятия соответствующего решения об отмене.</w:t>
      </w:r>
      <w:r/>
    </w:p>
    <w:p>
      <w:pPr>
        <w:pStyle w:val="1338"/>
        <w:spacing w:before="0" w:after="0"/>
      </w:pPr>
      <w:r>
        <w:t xml:space="preserve">Дополнительно организатор уведомляет всех Участников об отмене закупки посредством ЭП.</w:t>
      </w:r>
      <w:r/>
    </w:p>
    <w:p>
      <w:pPr>
        <w:pStyle w:val="1338"/>
        <w:spacing w:before="0" w:after="0"/>
      </w:pPr>
      <w:r>
        <w:t xml:space="preserve">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p>
    <w:p>
      <w:pPr>
        <w:pStyle w:val="1337"/>
        <w:spacing w:before="360" w:after="0"/>
      </w:pPr>
      <w:r/>
      <w:bookmarkStart w:id="207" w:name="_Toc230928858"/>
      <w:r/>
      <w:bookmarkStart w:id="208" w:name="_Ref130455226"/>
      <w:r>
        <w:t xml:space="preserve">Особенности проведения закупки с необходимостью обеспечения заявки</w:t>
      </w:r>
      <w:bookmarkEnd w:id="207"/>
      <w:r/>
      <w:bookmarkEnd w:id="208"/>
      <w:r/>
      <w:r/>
    </w:p>
    <w:p>
      <w:pPr>
        <w:pStyle w:val="1338"/>
        <w:spacing w:before="120" w:after="0"/>
      </w:pPr>
      <w:r>
        <w:t xml:space="preserve">Нормы настоящего подраздела применяются, если подразделом </w:t>
      </w:r>
      <w:r>
        <w:fldChar w:fldCharType="begin"/>
      </w:r>
      <w:r>
        <w:instrText xml:space="preserve"> REF _Ref125359973 \r \h </w:instrText>
      </w:r>
      <w:r>
        <w:fldChar w:fldCharType="separate"/>
      </w:r>
      <w:r>
        <w:t xml:space="preserve">1.2</w:t>
      </w:r>
      <w:r>
        <w:fldChar w:fldCharType="end"/>
      </w:r>
      <w:r>
        <w:t xml:space="preserve"> предусмотрена обязанность Участников предоставить обеспечение заявки на участие в закупке.</w:t>
      </w:r>
      <w:r/>
    </w:p>
    <w:p>
      <w:pPr>
        <w:pStyle w:val="1338"/>
        <w:spacing w:before="0" w:after="0"/>
      </w:pPr>
      <w:r>
        <w:t xml:space="preserve">Настоящий подраздел дополняет или изменяет порядок проведения закупки. В 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w:t>
      </w:r>
      <w:r/>
    </w:p>
    <w:p>
      <w:pPr>
        <w:pStyle w:val="1338"/>
        <w:spacing w:before="0" w:after="0"/>
      </w:pPr>
      <w:r>
        <w:t xml:space="preserve">Обязательства Участников, связанные с подачей заявок, обеспечиваются в форме, порядке и размере в соответствии с подразделом </w:t>
      </w:r>
      <w:r>
        <w:fldChar w:fldCharType="begin"/>
      </w:r>
      <w:r>
        <w:instrText xml:space="preserve"> REF _Ref125359973 \r \h </w:instrText>
      </w:r>
      <w:r>
        <w:fldChar w:fldCharType="separate"/>
      </w:r>
      <w:r>
        <w:t xml:space="preserve">1.2</w:t>
      </w:r>
      <w:r>
        <w:fldChar w:fldCharType="end"/>
      </w:r>
      <w:r>
        <w:t xml:space="preserve">. Выбор формы (способа) обеспечения из числа предусмотренных осуществляется Участниками самостоятельно.</w:t>
      </w:r>
      <w:r/>
    </w:p>
    <w:p>
      <w:pPr>
        <w:pStyle w:val="1338"/>
        <w:spacing w:before="0" w:after="0"/>
      </w:pPr>
      <w:r>
        <w:t xml:space="preserve">В случае выбора Участником обеспечения заявки в виде денежных средств, такие денежные средства в требуемом размере должны быть внесены до момента окончания срока подачи заявок (подраздел </w:t>
      </w:r>
      <w:r>
        <w:fldChar w:fldCharType="begin"/>
      </w:r>
      <w:r>
        <w:instrText xml:space="preserve"> REF _Ref125359973 \r \h </w:instrText>
      </w:r>
      <w:r>
        <w:fldChar w:fldCharType="separate"/>
      </w:r>
      <w:r>
        <w:t xml:space="preserve">1.2</w:t>
      </w:r>
      <w:r>
        <w:fldChar w:fldCharType="end"/>
      </w:r>
      <w:r>
        <w:t xml:space="preserve">) на индивидуальный счет, открытый Участнику Оператором ЭП в соответствии с Регламентом ЭП. В противном случае обеспечение заявки считается невнесенным, и Организатор обязан отклонить заявку такого Участника.</w:t>
      </w:r>
      <w:r/>
    </w:p>
    <w:p>
      <w:pPr>
        <w:pStyle w:val="1338"/>
        <w:spacing w:before="0" w:after="0"/>
      </w:pPr>
      <w:r>
        <w:t xml:space="preserve">В случае выбора Участник</w:t>
      </w:r>
      <w:r>
        <w:t xml:space="preserve">ом обеспечения заявки путем предоставления банковской гарантии (в том числе электронной банковской гарантии, выданной посредством функционала ЭП), такая банковская гарантия составляется с учетом требований статей 368 – 378 ГК РФ, а также следующих условий:</w:t>
      </w:r>
      <w:r/>
    </w:p>
    <w:p>
      <w:pPr>
        <w:pStyle w:val="1339"/>
        <w:spacing w:before="120" w:after="0"/>
      </w:pPr>
      <w:r>
        <w:t xml:space="preserve">банковская гарантия должна быть безотзывной и безусловной (гарантия по первому требованию);</w:t>
      </w:r>
      <w:r/>
    </w:p>
    <w:p>
      <w:pPr>
        <w:pStyle w:val="1339"/>
        <w:spacing w:before="0" w:after="0"/>
      </w:pPr>
      <w:r>
        <w:t xml:space="preserve">сумма банковской гарантии должна быть выражена в российских рублях и составлять не менее суммы в размере, указанном в подразделе </w:t>
      </w:r>
      <w:r>
        <w:fldChar w:fldCharType="begin"/>
      </w:r>
      <w:r>
        <w:instrText xml:space="preserve"> REF _Ref125359973 \r \h </w:instrText>
      </w:r>
      <w:r>
        <w:fldChar w:fldCharType="separate"/>
      </w:r>
      <w:r>
        <w:t xml:space="preserve">1.2</w:t>
      </w:r>
      <w:r>
        <w:fldChar w:fldCharType="end"/>
      </w:r>
      <w:r>
        <w:t xml:space="preserve">;</w:t>
      </w:r>
      <w:r/>
    </w:p>
    <w:p>
      <w:pPr>
        <w:pStyle w:val="1339"/>
        <w:spacing w:before="0" w:after="0"/>
      </w:pPr>
      <w:r>
        <w:t xml:space="preserve">банковская гарантия должна действовать не менее 120 (ста двадцати) календарных дней с даты окончания срока подачи заявок (подраздел </w:t>
      </w:r>
      <w:r>
        <w:fldChar w:fldCharType="begin"/>
      </w:r>
      <w:r>
        <w:instrText xml:space="preserve"> REF _Ref125359973 \r \h </w:instrText>
      </w:r>
      <w:r>
        <w:fldChar w:fldCharType="separate"/>
      </w:r>
      <w:r>
        <w:t xml:space="preserve">1.2</w:t>
      </w:r>
      <w:r>
        <w:fldChar w:fldCharType="end"/>
      </w:r>
      <w:r>
        <w:t xml:space="preserve">);</w:t>
      </w:r>
      <w:r/>
    </w:p>
    <w:p>
      <w:pPr>
        <w:pStyle w:val="1339"/>
        <w:spacing w:before="0" w:after="0"/>
      </w:pPr>
      <w:r>
        <w:t xml:space="preserve">бенефициаром в банковской гарантии должен быть указан Заказчик, принципалом – Участник, гарантом – банк, выдавший банковскую гарантию;</w:t>
      </w:r>
      <w:r/>
    </w:p>
    <w:p>
      <w:pPr>
        <w:pStyle w:val="1339"/>
        <w:spacing w:before="0" w:after="0"/>
      </w:pPr>
      <w:r>
        <w:t xml:space="preserve">в банковской гарантии должно быть предусмотрено безусловное право Заказчика на истребование суммы банковской гарантии полностью или частично, в случае нарушения Участником закупки своих обязательств, указанных в пункте </w:t>
      </w:r>
      <w:r>
        <w:fldChar w:fldCharType="begin"/>
      </w:r>
      <w:r>
        <w:instrText xml:space="preserve"> REF _Ref228966528 \r \h </w:instrText>
      </w:r>
      <w:r>
        <w:fldChar w:fldCharType="separate"/>
      </w:r>
      <w:r>
        <w:t xml:space="preserve">4.17.11</w:t>
      </w:r>
      <w:r>
        <w:fldChar w:fldCharType="end"/>
      </w:r>
      <w:r>
        <w:t xml:space="preserve">;</w:t>
      </w:r>
      <w:r/>
    </w:p>
    <w:p>
      <w:pPr>
        <w:pStyle w:val="1339"/>
        <w:spacing w:before="0" w:after="0"/>
      </w:pPr>
      <w:r>
        <w:t xml:space="preserve">в банковской гарантии должно быть предусмотрено, что для истребования суммы обеспечения Заказчик направляет гаранту только письменное требование с приложением документов, подтверждающих полномочия лиц</w:t>
      </w:r>
      <w:r>
        <w:t xml:space="preserve">а, подписавшего указанное требование (доверенность – в случае если требование подписано лицом, не указанным в ЕГРЮЛ в качестве лица, имеющего право без доверенности действовать от имени бенефициара), с указанием на существо допущенных Участником нарушений;</w:t>
      </w:r>
      <w:r/>
    </w:p>
    <w:p>
      <w:pPr>
        <w:pStyle w:val="1339"/>
        <w:spacing w:before="0" w:after="0"/>
      </w:pPr>
      <w:r>
        <w:t xml:space="preserve">платеж по банковской гарантии должен быть осуществлен в течение 10 (десяти) рабочих дней после обращения бенефициара;</w:t>
      </w:r>
      <w:r/>
    </w:p>
    <w:p>
      <w:pPr>
        <w:pStyle w:val="1339"/>
        <w:spacing w:before="0" w:after="0"/>
      </w:pPr>
      <w:r>
        <w:t xml:space="preserve">в банковской гарантии не должно быть условий или требований, противоречащих вышеизложенному или делающих вышеизложенное неисполнимым;</w:t>
      </w:r>
      <w:r/>
    </w:p>
    <w:p>
      <w:pPr>
        <w:pStyle w:val="1339"/>
        <w:spacing w:before="0" w:after="0"/>
      </w:pPr>
      <w:r>
        <w:t xml:space="preserve">банковская гарантия должна быть выдана банком, включенным в перечень, определенный Правительством Российской Федерации в соответствии с Законом 44-ФЗ и размещенный на официальном сайте Министерства финансов Российской Федерации</w:t>
      </w:r>
      <w:r>
        <w:rPr>
          <w:rStyle w:val="1307"/>
        </w:rPr>
        <w:footnoteReference w:id="10"/>
      </w:r>
      <w:r>
        <w:t xml:space="preserve">,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Российской Федерации;</w:t>
      </w:r>
      <w:r/>
    </w:p>
    <w:p>
      <w:pPr>
        <w:pStyle w:val="1339"/>
        <w:spacing w:before="0" w:after="0"/>
      </w:pPr>
      <w:r>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t xml:space="preserve">типовые формы (URDG 758) (Публикация Международной торговой палаты № 758). Редакция 2010 года» в той мере, в какой указанные правила не противоречат императивным нормам законодательства, а также предусматривать Арбитражный суд по месту нахождения Заказчика</w:t>
      </w:r>
      <w:r>
        <w:rPr>
          <w:rStyle w:val="1307"/>
        </w:rPr>
        <w:footnoteReference w:id="11"/>
      </w:r>
      <w:r>
        <w:t xml:space="preserve"> в качестве органа, компетентного разрешать споры из банковской гарантии.</w:t>
      </w:r>
      <w:r/>
    </w:p>
    <w:p>
      <w:pPr>
        <w:pStyle w:val="1338"/>
        <w:spacing w:before="120" w:after="0"/>
      </w:pPr>
      <w:r>
        <w:t xml:space="preserve">В случае выбора Участником обеспечения заявки путем предоставления банковской гарантии, он должен предоставить в составе своей заявки копию такой гарантии (либо электронную банковскую гарантию, выданную банком посредст</w:t>
      </w:r>
      <w:r>
        <w:t xml:space="preserve">вом функционала ЭП), подтверждающую наличие обеспечения заявки в требуемом размере и соответствующую требованиям к условиям такой гарантии. В противном случае обеспечение заявки считается невнесенным, и Организатор обязан отклонить заявку такого Участника.</w:t>
      </w:r>
      <w:r/>
    </w:p>
    <w:p>
      <w:pPr>
        <w:pStyle w:val="1338"/>
        <w:spacing w:before="0" w:after="0"/>
      </w:pPr>
      <w:r>
        <w:t xml:space="preserve">При многолотовой закупке (подраздел </w:t>
      </w:r>
      <w:r>
        <w:fldChar w:fldCharType="begin"/>
      </w:r>
      <w:r>
        <w:instrText xml:space="preserve"> REF _Ref149317278 \n \h </w:instrText>
      </w:r>
      <w:r>
        <w:fldChar w:fldCharType="separate"/>
      </w:r>
      <w:r>
        <w:t xml:space="preserve">4.18</w:t>
      </w:r>
      <w:r>
        <w:fldChar w:fldCharType="end"/>
      </w:r>
      <w:r>
        <w:t xml:space="preserve">) обеспечение исполнения обязательств Участника оформляется на сумму, равную суммарной стоимости обеспечения по всем лотам</w:t>
      </w:r>
      <w:r>
        <w:t xml:space="preserve">, на которые Участник подает заявку; также допускается внесение обеспечения отдельно по каждому из лотов. Удержание Организатором обеспечения может производиться только по тем лотам, на которые Участник подал заявку и по которым он был признан Победителем.</w:t>
      </w:r>
      <w:r/>
    </w:p>
    <w:p>
      <w:pPr>
        <w:pStyle w:val="1338"/>
        <w:spacing w:before="0" w:after="0"/>
      </w:pPr>
      <w:r>
        <w:t xml:space="preserve">При подаче заявки с альтернативными предложениями (подраздел </w:t>
      </w:r>
      <w:r>
        <w:fldChar w:fldCharType="begin"/>
      </w:r>
      <w:r>
        <w:instrText xml:space="preserve"> REF _Ref125550863 \r \h </w:instrText>
      </w:r>
      <w:r>
        <w:fldChar w:fldCharType="separate"/>
      </w:r>
      <w:r>
        <w:t xml:space="preserve">4.19</w:t>
      </w:r>
      <w:r>
        <w:fldChar w:fldCharType="end"/>
      </w:r>
      <w:r>
        <w:t xml:space="preserve">) размер обеспечения заявки не увеличивается, а сумма обеспечения покрывает обязательства Участника как в отношении основного предложения, так и всех альтернативных предложений.</w:t>
      </w:r>
      <w:r/>
    </w:p>
    <w:p>
      <w:pPr>
        <w:pStyle w:val="1338"/>
        <w:spacing w:before="0" w:after="0"/>
      </w:pPr>
      <w:r>
        <w:t xml:space="preserve">Подать заявку (принять участие в закупке) могут только Участники, предоставившие надлежащее обеспечение их заявок.</w:t>
      </w:r>
      <w:r/>
    </w:p>
    <w:p>
      <w:pPr>
        <w:pStyle w:val="1338"/>
        <w:spacing w:before="0" w:after="0"/>
      </w:pPr>
      <w:r>
        <w:t xml:space="preserve">Требование об обеспечении заявки в равной мере распространяется на всех Участников.</w:t>
      </w:r>
      <w:r/>
    </w:p>
    <w:p>
      <w:pPr>
        <w:pStyle w:val="1338"/>
        <w:keepNext/>
        <w:spacing w:before="0" w:after="0"/>
      </w:pPr>
      <w:r/>
      <w:bookmarkStart w:id="209" w:name="_Ref228966528"/>
      <w:r>
        <w:t xml:space="preserve">В случае признания Участника Победителем или принятия Заказчиком решения о заключении с ним Договора по итогам несостоявшейся закупки обеспечение заявки распространяется на следующие обязательства Участника:</w:t>
      </w:r>
      <w:bookmarkEnd w:id="209"/>
      <w:r/>
      <w:r/>
    </w:p>
    <w:p>
      <w:pPr>
        <w:pStyle w:val="1339"/>
        <w:spacing w:before="120" w:after="0"/>
      </w:pPr>
      <w:r>
        <w:t xml:space="preserve">обязательство заключить Договор в установленном Документацией о закупке порядке (раздел </w:t>
      </w:r>
      <w:r>
        <w:fldChar w:fldCharType="begin"/>
      </w:r>
      <w:r>
        <w:instrText xml:space="preserve"> REF _Ref130224037 \r \h </w:instrText>
      </w:r>
      <w:r>
        <w:fldChar w:fldCharType="separate"/>
      </w:r>
      <w:r>
        <w:t xml:space="preserve">5</w:t>
      </w:r>
      <w:r>
        <w:fldChar w:fldCharType="end"/>
      </w:r>
      <w:r>
        <w:t xml:space="preserve">), в том числе предоставить Сведения о цепочке собственников, включая бенефициаров (в том числе конечных) (</w:t>
      </w:r>
      <w:hyperlink w:tooltip="#Прил05_ФормыПобедителя" w:anchor="Прил05_ФормыПобедителя" w:history="1">
        <w:r>
          <w:rPr>
            <w:rStyle w:val="1311"/>
          </w:rPr>
          <w:t xml:space="preserve">Приложение № 5</w:t>
        </w:r>
      </w:hyperlink>
      <w:r>
        <w:t xml:space="preserve">), а также предоставить иные документы в соответствии с условиями подраздела </w:t>
      </w:r>
      <w:r>
        <w:fldChar w:fldCharType="begin"/>
      </w:r>
      <w:r>
        <w:instrText xml:space="preserve"> REF _Ref138232981 \r \h </w:instrText>
      </w:r>
      <w:r>
        <w:fldChar w:fldCharType="separate"/>
      </w:r>
      <w:r>
        <w:t xml:space="preserve">5.2</w:t>
      </w:r>
      <w:r>
        <w:fldChar w:fldCharType="end"/>
      </w:r>
      <w:r>
        <w:t xml:space="preserve">;</w:t>
      </w:r>
      <w:r/>
    </w:p>
    <w:p>
      <w:pPr>
        <w:pStyle w:val="1339"/>
        <w:spacing w:before="0" w:after="0"/>
      </w:pPr>
      <w:r>
        <w:t xml:space="preserve">обязательство предоставить до заключения договора Заказчику обеспечение исполнения договора – если </w:t>
      </w:r>
      <w:hyperlink w:tooltip="#Прил02_ПроектДоговора" w:anchor="Прил02_ПроектДоговора" w:history="1">
        <w:r>
          <w:rPr>
            <w:rStyle w:val="1311"/>
          </w:rPr>
          <w:t xml:space="preserve">Проект договора (Приложение № 2)</w:t>
        </w:r>
      </w:hyperlink>
      <w:r>
        <w:t xml:space="preserve"> предусматривает обеспечение исполнения договора с соответствующими обязательствами (в порядке и сроки, предусмотренные </w:t>
      </w:r>
      <w:hyperlink w:tooltip="#Прил02_ПроектДоговора" w:anchor="Прил02_ПроектДоговора" w:history="1">
        <w:r>
          <w:rPr>
            <w:rStyle w:val="1311"/>
          </w:rPr>
          <w:t xml:space="preserve">Проектом договора</w:t>
        </w:r>
      </w:hyperlink>
      <w:r>
        <w:t xml:space="preserve">).</w:t>
      </w:r>
      <w:r/>
    </w:p>
    <w:p>
      <w:pPr>
        <w:pStyle w:val="1338"/>
        <w:spacing w:before="120" w:after="0"/>
      </w:pPr>
      <w:r>
        <w:t xml:space="preserve">В случае невыполнения Победителем указанных выше обязательств Организатор вправе удержать </w:t>
      </w:r>
      <w:r>
        <w:t xml:space="preserve">обеспечение заявки путем обращения в соответствующий Банк-гарант. В случае предоставления Участником обеспечения в виде денежных средств, Организатор вправе удержать обеспечение заявки со счета, открытого ему Оператором ЭП, в соответствии с регламентом ЭП.</w:t>
      </w:r>
      <w:r/>
    </w:p>
    <w:p>
      <w:pPr>
        <w:pStyle w:val="1338"/>
        <w:keepNext/>
        <w:spacing w:before="0" w:after="0"/>
      </w:pPr>
      <w:r>
        <w:t xml:space="preserve">Возврат обеспечения заявки (в случае предоставления Участником обеспечения в виде денежных средств) осуществляется Организатором в срок не более 20 (двадцати) рабочих дней с даты:</w:t>
      </w:r>
      <w:r/>
    </w:p>
    <w:p>
      <w:pPr>
        <w:pStyle w:val="1339"/>
        <w:spacing w:before="120" w:after="0"/>
      </w:pPr>
      <w:r>
        <w:t xml:space="preserve">принятия решения об отказе от проведения закупки – всем Участникам, подавшим заявки к моменту принятия такого решения;</w:t>
      </w:r>
      <w:r/>
    </w:p>
    <w:p>
      <w:pPr>
        <w:pStyle w:val="1339"/>
        <w:spacing w:before="0" w:after="0"/>
      </w:pPr>
      <w:r>
        <w:t xml:space="preserve">поступления уведомления об отзыве заявки в случаях, когда такой отзыв осуществлен в установленные в Документации о закупке сроки – Участнику, отозвавшему заявку;</w:t>
      </w:r>
      <w:r/>
    </w:p>
    <w:p>
      <w:pPr>
        <w:pStyle w:val="1339"/>
        <w:spacing w:before="0" w:after="0"/>
      </w:pPr>
      <w:r>
        <w:t xml:space="preserve">официального размещения протокола рассмотрения заявок (при условии его оформления) – Участникам, чьи заявки были отклонены;</w:t>
      </w:r>
      <w:r/>
    </w:p>
    <w:p>
      <w:pPr>
        <w:pStyle w:val="1339"/>
        <w:spacing w:before="0" w:after="0"/>
      </w:pPr>
      <w:r>
        <w:t xml:space="preserve">официального размещения итогового протокола по результатам закупки – всем Участникам, кроме Победителя;</w:t>
      </w:r>
      <w:r/>
    </w:p>
    <w:p>
      <w:pPr>
        <w:pStyle w:val="1339"/>
        <w:spacing w:before="0" w:after="0"/>
      </w:pPr>
      <w:r>
        <w:t xml:space="preserve">заключения Договора по результатам закупки – Победителю, с которым заключен Договор;</w:t>
      </w:r>
      <w:r/>
    </w:p>
    <w:p>
      <w:pPr>
        <w:pStyle w:val="1339"/>
        <w:spacing w:before="0" w:after="0"/>
      </w:pPr>
      <w:r>
        <w:t xml:space="preserve">признания закупки несостоявшейся – Участнику, которому обеспечение не было возвращено по иным основаниям.</w:t>
      </w:r>
      <w:r/>
    </w:p>
    <w:p>
      <w:pPr>
        <w:pStyle w:val="1338"/>
        <w:spacing w:before="120" w:after="0"/>
      </w:pPr>
      <w:r>
        <w:t xml:space="preserve">Возврат обеспечения заявки может быть задержан в случае поступления в установленном законодательством порядке жалобы по закупке (подраздел </w:t>
      </w:r>
      <w:r>
        <w:fldChar w:fldCharType="begin"/>
      </w:r>
      <w:r>
        <w:instrText xml:space="preserve"> REF _Ref125363536 \r \h </w:instrText>
      </w:r>
      <w:r>
        <w:fldChar w:fldCharType="separate"/>
      </w:r>
      <w:r>
        <w:t xml:space="preserve">2.3</w:t>
      </w:r>
      <w:r>
        <w:fldChar w:fldCharType="end"/>
      </w:r>
      <w:r>
        <w:t xml:space="preserve">) – на время рассмотрения жалобы. При этом проценты на сумму денежных средств, внесенных Участником в качестве обеспечения его заявки, начислению и выплате не подлежат.</w:t>
      </w:r>
      <w:r/>
    </w:p>
    <w:p>
      <w:pPr>
        <w:pStyle w:val="1337"/>
        <w:spacing w:before="360" w:after="0"/>
      </w:pPr>
      <w:r/>
      <w:bookmarkStart w:id="210" w:name="_Ref130225422"/>
      <w:r/>
      <w:bookmarkStart w:id="211" w:name="_Toc230928859"/>
      <w:r/>
      <w:bookmarkStart w:id="212" w:name="_Ref149317278"/>
      <w:r>
        <w:t xml:space="preserve">Особенности проведения многолотовой закупки</w:t>
      </w:r>
      <w:bookmarkEnd w:id="210"/>
      <w:r/>
      <w:bookmarkEnd w:id="211"/>
      <w:r/>
      <w:bookmarkEnd w:id="212"/>
      <w:r/>
      <w:r/>
    </w:p>
    <w:p>
      <w:pPr>
        <w:pStyle w:val="1338"/>
        <w:spacing w:before="120" w:after="0"/>
      </w:pPr>
      <w:r>
        <w:t xml:space="preserve">Нормы настоящего подраздела применяются, если подразделом </w:t>
      </w:r>
      <w:r>
        <w:fldChar w:fldCharType="begin"/>
      </w:r>
      <w:r>
        <w:instrText xml:space="preserve"> REF _Ref125359973 \r \h </w:instrText>
      </w:r>
      <w:r>
        <w:fldChar w:fldCharType="separate"/>
      </w:r>
      <w:r>
        <w:t xml:space="preserve">1.2</w:t>
      </w:r>
      <w:r>
        <w:fldChar w:fldCharType="end"/>
      </w:r>
      <w:r>
        <w:t xml:space="preserve"> предусмотрено проведение многолотовой закупки.</w:t>
      </w:r>
      <w:r/>
    </w:p>
    <w:p>
      <w:pPr>
        <w:pStyle w:val="1338"/>
        <w:spacing w:before="0" w:after="0"/>
      </w:pPr>
      <w:r>
        <w:t xml:space="preserve">Настоящий подраздел дополняет или изменяет порядок проведения закупки. В 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w:t>
      </w:r>
      <w:r/>
    </w:p>
    <w:p>
      <w:pPr>
        <w:pStyle w:val="1338"/>
        <w:spacing w:before="0" w:after="0"/>
      </w:pPr>
      <w:r>
        <w:t xml:space="preserve">Многолотовая закупка может </w:t>
      </w:r>
      <w:r>
        <w:t xml:space="preserve">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Закупочная комиссия. Любые положения Документации о закупке, если в них прямо не</w:t>
      </w:r>
      <w:r>
        <w:rPr>
          <w:lang w:val="en-US"/>
        </w:rPr>
        <w:t xml:space="preserve"> </w:t>
      </w:r>
      <w:r>
        <w:t xml:space="preserve">указан номер конкретного лота, относятся ко всем лотам одновременно.</w:t>
      </w:r>
      <w:r/>
    </w:p>
    <w:p>
      <w:pPr>
        <w:pStyle w:val="1338"/>
        <w:spacing w:before="0" w:after="0"/>
      </w:pPr>
      <w:r>
        <w:t xml:space="preserve">Участник может подать одну заявку на любой лот, любые несколько лотов или все лоты по собственному выбору.</w:t>
      </w:r>
      <w:r>
        <w:t xml:space="preserve"> При этом не допускается разбиение отдельного лота на части, то есть подача заявки на часть лота по отдельным видам или объемам продукции. В многолотовой закупке подача Участником по одной заявке на каждый лот не считается подачей второй заявки на закупку.</w:t>
      </w:r>
      <w:r/>
    </w:p>
    <w:p>
      <w:pPr>
        <w:pStyle w:val="1338"/>
        <w:keepNext/>
        <w:spacing w:before="0" w:after="0"/>
      </w:pPr>
      <w:r>
        <w:t xml:space="preserve">В случае подачи заявки на несколько лотов дополнительно должны быть соблюдены следующие требования:</w:t>
      </w:r>
      <w:r/>
    </w:p>
    <w:p>
      <w:pPr>
        <w:pStyle w:val="1339"/>
        <w:spacing w:before="120" w:after="0"/>
      </w:pPr>
      <w:r>
        <w:t xml:space="preserve">Письмо о подаче оферты (форма 2) (</w:t>
      </w:r>
      <w:hyperlink w:tooltip="#Прил04_ФормыЗаявки" w:anchor="Прил04_ФормыЗаявки" w:history="1">
        <w:r>
          <w:rPr>
            <w:rStyle w:val="1311"/>
          </w:rPr>
          <w:t xml:space="preserve">Приложение № 4</w:t>
        </w:r>
      </w:hyperlink>
      <w:r>
        <w:t xml:space="preserve">) должно содержать указание номера и названия каждого лота, по каждому лоту должна быть указана его стоимость;</w:t>
      </w:r>
      <w:r/>
    </w:p>
    <w:p>
      <w:pPr>
        <w:pStyle w:val="1339"/>
        <w:spacing w:before="0" w:after="0"/>
      </w:pPr>
      <w:r>
        <w:t xml:space="preserve">Коммерческое предложение (форма 3), Техническое предложение (форма 4), План распределения объемов поставки продукции (форма 10) – </w:t>
      </w:r>
      <w:hyperlink w:tooltip="#Прил04_ФормыЗаявки" w:anchor="Прил04_ФормыЗаявки" w:history="1">
        <w:r>
          <w:rPr>
            <w:rStyle w:val="1311"/>
          </w:rPr>
          <w:t xml:space="preserve">Приложение № 4</w:t>
        </w:r>
      </w:hyperlink>
      <w:r>
        <w:t xml:space="preserve">, должны быть подготовлены отдельно по каждому из лотов с указанием номера и названия лота.</w:t>
      </w:r>
      <w:r/>
    </w:p>
    <w:p>
      <w:pPr>
        <w:pStyle w:val="1338"/>
        <w:spacing w:before="120" w:after="0"/>
      </w:pPr>
      <w:r>
        <w:t xml:space="preserve">Решения, принимаемые в ходе процедуры закупки, в том числе решения в рамках рассмотрения, оценки и сопоставления заявок, определения Победителя, признания закупки несостоявшейся, отказа от дальнейшего ее проведения и т.д., осуществляются раздельно и </w:t>
      </w:r>
      <w:r>
        <w:t xml:space="preserve">независимо по каждому из лотов. При этом Организатор вправе оформить по каждому лоту отдельный протокол закупки или сформировать общий по всем лотам протокол закупки, в который в отношении каждого лота вносятся сведения, подлежащие официальному размещению.</w:t>
      </w:r>
      <w:r/>
    </w:p>
    <w:p>
      <w:pPr>
        <w:pStyle w:val="1337"/>
        <w:spacing w:before="360" w:after="0"/>
      </w:pPr>
      <w:r/>
      <w:bookmarkStart w:id="213" w:name="_Toc230928860"/>
      <w:r/>
      <w:bookmarkStart w:id="214" w:name="_Ref125550863"/>
      <w:r>
        <w:t xml:space="preserve">Особенности проведения закупки с возможностью подачи альтернативных предложений</w:t>
      </w:r>
      <w:bookmarkEnd w:id="213"/>
      <w:r/>
      <w:bookmarkEnd w:id="214"/>
      <w:r/>
      <w:r/>
    </w:p>
    <w:p>
      <w:pPr>
        <w:pStyle w:val="1338"/>
        <w:spacing w:before="120" w:after="0"/>
      </w:pPr>
      <w:r>
        <w:t xml:space="preserve">Нормы настоящего подраздела применяются, если подразделом </w:t>
      </w:r>
      <w:r>
        <w:fldChar w:fldCharType="begin"/>
      </w:r>
      <w:r>
        <w:instrText xml:space="preserve"> REF _Ref125359973 \r \h </w:instrText>
      </w:r>
      <w:r>
        <w:fldChar w:fldCharType="separate"/>
      </w:r>
      <w:r>
        <w:t xml:space="preserve">1.2</w:t>
      </w:r>
      <w:r>
        <w:fldChar w:fldCharType="end"/>
      </w:r>
      <w:r>
        <w:t xml:space="preserve"> предусмотрена возможность подачи альтернативных предложений.</w:t>
      </w:r>
      <w:r/>
    </w:p>
    <w:p>
      <w:pPr>
        <w:pStyle w:val="1338"/>
        <w:spacing w:before="0" w:after="0"/>
      </w:pPr>
      <w:r>
        <w:t xml:space="preserve">Настоящий подраздел дополняет или изменяет порядок проведения закупки. В 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w:t>
      </w:r>
      <w:r/>
    </w:p>
    <w:p>
      <w:pPr>
        <w:pStyle w:val="1338"/>
        <w:spacing w:before="0" w:after="0"/>
      </w:pPr>
      <w:r>
        <w:t xml:space="preserve">Участник в составе заявки дополнительно к основному предложению вправе подготовить и подать альтернативные предложения в количестве, не превышающем установленное максимальное значение, и исключительно по аспектам, указанным в подразделе </w:t>
      </w:r>
      <w:r>
        <w:fldChar w:fldCharType="begin"/>
      </w:r>
      <w:r>
        <w:instrText xml:space="preserve"> REF _Ref125359973 \r \h </w:instrText>
      </w:r>
      <w:r>
        <w:fldChar w:fldCharType="separate"/>
      </w:r>
      <w:r>
        <w:t xml:space="preserve">1.2</w:t>
      </w:r>
      <w:r>
        <w:fldChar w:fldCharType="end"/>
      </w:r>
      <w:r>
        <w:t xml:space="preserve">. Требование о том, что участник имеет право под</w:t>
      </w:r>
      <w:r>
        <w:t xml:space="preserve">ать только одну заявку, к альтернативным предложениям не относится. При этом не допускается подача заявки на часть какого-либо лота по отдельным видам или объемам продукции (в случае нарушения – поданная заявка в отношении такого лота подлежит отклонению).</w:t>
      </w:r>
      <w:r/>
    </w:p>
    <w:p>
      <w:pPr>
        <w:pStyle w:val="1338"/>
        <w:spacing w:before="0" w:after="0"/>
      </w:pPr>
      <w:r>
        <w:t xml:space="preserve">Альтернативные предложения могут сопровождаться альтернативными ценами (не превышающими НМЦ, установленную в подразделе </w:t>
      </w:r>
      <w:r>
        <w:fldChar w:fldCharType="begin"/>
      </w:r>
      <w:r>
        <w:instrText xml:space="preserve"> REF _Ref125359973 \r \h </w:instrText>
      </w:r>
      <w:r>
        <w:fldChar w:fldCharType="separate"/>
      </w:r>
      <w:r>
        <w:t xml:space="preserve">1.2</w:t>
      </w:r>
      <w:r>
        <w:fldChar w:fldCharType="end"/>
      </w:r>
      <w:r>
        <w:t xml:space="preserve">). При этом альтернативные предложения, по сути отличающиеся от основного только ценой, рассматриваться не будут.</w:t>
      </w:r>
      <w:r/>
    </w:p>
    <w:p>
      <w:pPr>
        <w:pStyle w:val="1338"/>
        <w:spacing w:before="0" w:after="0"/>
      </w:pPr>
      <w:r>
        <w:t xml:space="preserve">Альтернативное предложение должно быть явным образом выделено в составе заявки и обособлено от основного предложения и иных альтернативных предложений (должны быть представлены соответствующие измененные формы заявки (</w:t>
      </w:r>
      <w:hyperlink w:tooltip="#Прил04_ФормыЗаявки" w:anchor="Прил04_ФормыЗаявки" w:history="1">
        <w:r>
          <w:rPr>
            <w:rStyle w:val="1311"/>
          </w:rPr>
          <w:t xml:space="preserve">Приложение № 4</w:t>
        </w:r>
      </w:hyperlink>
      <w:r>
        <w:t xml:space="preserve">) с указанием в них тех параметров, пунктов, разделов и т.д. основного предложения, </w:t>
      </w:r>
      <w:r>
        <w:t xml:space="preserve">вместо которых предлагаются альтернативные). При этом в альтернативном предложении не следует дублировать документы, подтверждающие соответствие Участника установленным требованиям, а также формы заявки, которые не отличаются от форм основного предложения.</w:t>
      </w:r>
      <w:r/>
    </w:p>
    <w:p>
      <w:pPr>
        <w:pStyle w:val="1338"/>
        <w:spacing w:before="0" w:after="0"/>
      </w:pPr>
      <w:r>
        <w:t xml:space="preserve">При проведении переторжки (подраздел </w:t>
      </w:r>
      <w:r>
        <w:fldChar w:fldCharType="begin"/>
      </w:r>
      <w:r>
        <w:instrText xml:space="preserve"> REF _Ref127536359 \r \h </w:instrText>
      </w:r>
      <w:r>
        <w:fldChar w:fldCharType="separate"/>
      </w:r>
      <w:r>
        <w:t xml:space="preserve">4.11</w:t>
      </w:r>
      <w:r>
        <w:fldChar w:fldCharType="end"/>
      </w:r>
      <w:r>
        <w:t xml:space="preserve">) альтернативные предложения Участников допускаются к ней наравне с основными предложениями.</w:t>
      </w:r>
      <w:r/>
    </w:p>
    <w:p>
      <w:pPr>
        <w:pStyle w:val="1338"/>
        <w:spacing w:before="0" w:after="0"/>
      </w:pPr>
      <w:r>
        <w:t xml:space="preserve">Решения Закупочной комиссии по рассмотрению, оценке и сопоставлению заявок принимаются отдельно в отношении основного предложения и каждого альтернативного предложения. Отклонение основного предложения не яв</w:t>
      </w:r>
      <w:r>
        <w:t xml:space="preserve">ляется основанием для отклонения альтернативных предложений и наоборот. При формировании ранжировки заявок альтернативные предложения ранжируются отдельно (наравне с основными предложениями), с присвоением каждому предложению отдельного места в ранжировке.</w:t>
      </w:r>
      <w:r/>
    </w:p>
    <w:p>
      <w:pPr>
        <w:pStyle w:val="1336"/>
        <w:spacing w:before="0" w:after="0"/>
      </w:pPr>
      <w:r/>
      <w:bookmarkStart w:id="215" w:name="_Ref125367087"/>
      <w:r/>
      <w:bookmarkStart w:id="216" w:name="_Ref125367083"/>
      <w:r/>
      <w:bookmarkStart w:id="217" w:name="_Ref125366769"/>
      <w:r/>
      <w:bookmarkStart w:id="218" w:name="_Ref125363439"/>
      <w:r/>
      <w:bookmarkStart w:id="219" w:name="_Ref125362671"/>
      <w:r/>
      <w:bookmarkStart w:id="220" w:name="_Ref125361212"/>
      <w:r/>
      <w:bookmarkStart w:id="221" w:name="_Toc230928861"/>
      <w:r/>
      <w:bookmarkStart w:id="222" w:name="_Ref130224037"/>
      <w:r/>
      <w:bookmarkStart w:id="223" w:name="_Ref126142429"/>
      <w:r>
        <w:t xml:space="preserve">Порядок заключения Договора</w:t>
      </w:r>
      <w:bookmarkEnd w:id="215"/>
      <w:r/>
      <w:bookmarkEnd w:id="216"/>
      <w:r/>
      <w:bookmarkEnd w:id="217"/>
      <w:r/>
      <w:bookmarkEnd w:id="218"/>
      <w:r/>
      <w:bookmarkEnd w:id="219"/>
      <w:r/>
      <w:bookmarkEnd w:id="220"/>
      <w:r/>
      <w:bookmarkEnd w:id="221"/>
      <w:r/>
      <w:bookmarkEnd w:id="222"/>
      <w:r/>
      <w:bookmarkEnd w:id="223"/>
      <w:r/>
      <w:r/>
    </w:p>
    <w:p>
      <w:pPr>
        <w:pStyle w:val="1337"/>
        <w:spacing w:before="360" w:after="0"/>
      </w:pPr>
      <w:r/>
      <w:bookmarkStart w:id="224" w:name="_Toc230928862"/>
      <w:r/>
      <w:bookmarkStart w:id="225" w:name="_Ref139028625"/>
      <w:r>
        <w:t xml:space="preserve">Общие положения</w:t>
      </w:r>
      <w:bookmarkEnd w:id="224"/>
      <w:r/>
      <w:bookmarkEnd w:id="225"/>
      <w:r/>
      <w:r/>
    </w:p>
    <w:p>
      <w:pPr>
        <w:pStyle w:val="1338"/>
        <w:spacing w:before="120" w:after="0"/>
      </w:pPr>
      <w:r>
        <w:t xml:space="preserve">Нормы настоящего раздела </w:t>
      </w:r>
      <w:r>
        <w:fldChar w:fldCharType="begin"/>
      </w:r>
      <w:r>
        <w:instrText xml:space="preserve"> REF _Ref126142429 \r \h </w:instrText>
      </w:r>
      <w:r>
        <w:fldChar w:fldCharType="separate"/>
      </w:r>
      <w:r>
        <w:t xml:space="preserve">5</w:t>
      </w:r>
      <w:r>
        <w:fldChar w:fldCharType="end"/>
      </w:r>
      <w:r>
        <w:t xml:space="preserve"> также применяются в отношении Единственного участника несостоявшейся закупки, с которым принято решение о заключении договора (к нему применяются те же нормы, что и в отношении Победителя).</w:t>
      </w:r>
      <w:r/>
    </w:p>
    <w:p>
      <w:pPr>
        <w:pStyle w:val="1337"/>
        <w:spacing w:before="360" w:after="0"/>
      </w:pPr>
      <w:r/>
      <w:bookmarkStart w:id="226" w:name="_Ref135736094"/>
      <w:r/>
      <w:bookmarkStart w:id="227" w:name="_Ref125368755"/>
      <w:r/>
      <w:bookmarkStart w:id="228" w:name="_Ref125366947"/>
      <w:r/>
      <w:bookmarkStart w:id="229" w:name="_Toc230928863"/>
      <w:r/>
      <w:bookmarkStart w:id="230" w:name="_Ref138232981"/>
      <w:r>
        <w:t xml:space="preserve">Заключение Договора</w:t>
      </w:r>
      <w:bookmarkEnd w:id="226"/>
      <w:r/>
      <w:bookmarkEnd w:id="227"/>
      <w:r/>
      <w:bookmarkEnd w:id="228"/>
      <w:r/>
      <w:bookmarkEnd w:id="229"/>
      <w:r/>
      <w:bookmarkEnd w:id="230"/>
      <w:r/>
      <w:r/>
    </w:p>
    <w:p>
      <w:pPr>
        <w:pStyle w:val="1338"/>
        <w:spacing w:before="120" w:after="0"/>
      </w:pPr>
      <w:r/>
      <w:bookmarkStart w:id="231" w:name="_Ref130293821"/>
      <w:r/>
      <w:bookmarkStart w:id="232" w:name="_Ref125362935"/>
      <w:r>
        <w:t xml:space="preserve">Договор между Заказчиком и Победителем заключается не ранее чем через 10 (десять) календарных дней и не позднее чем через 20 (двадцать) календарных дней с даты официального размещения итогового протокола по результатам закупки.</w:t>
      </w:r>
      <w:bookmarkEnd w:id="231"/>
      <w:r/>
      <w:bookmarkEnd w:id="232"/>
      <w:r/>
      <w:r/>
    </w:p>
    <w:p>
      <w:pPr>
        <w:pStyle w:val="1338"/>
        <w:spacing w:before="0" w:after="0"/>
      </w:pPr>
      <w:r>
        <w:t xml:space="preserve">Договор не может быть заключен, если это запрещено законодательством о национальном режиме .</w:t>
      </w:r>
      <w:r/>
    </w:p>
    <w:p>
      <w:pPr>
        <w:pStyle w:val="1338"/>
        <w:spacing w:before="0" w:after="0"/>
      </w:pPr>
      <w:r>
        <w:t xml:space="preserve">При осуществлении закупки товара (в том числе поставляемого Заказчику при выполнении работ, оказании услуг) в Договор при его заключении включается информация о стране происхождения товара.</w:t>
      </w:r>
      <w:r/>
    </w:p>
    <w:p>
      <w:pPr>
        <w:pStyle w:val="1338"/>
        <w:spacing w:before="0" w:after="0"/>
      </w:pPr>
      <w:r/>
      <w:bookmarkStart w:id="233" w:name="_Ref125363464"/>
      <w:r>
        <w:t xml:space="preserve">В целях </w:t>
      </w:r>
      <w:r>
        <w:rPr>
          <w:rFonts w:eastAsia="Calibri" w:cs="Times New Roman"/>
        </w:rPr>
        <w:t xml:space="preserve">обеспечения дополнительной прозрачности финансово-хозяйственной деятельности сторон при</w:t>
      </w:r>
      <w:r>
        <w:t xml:space="preserve"> заключения Договора </w:t>
      </w:r>
      <w:r>
        <w:rPr>
          <w:rFonts w:eastAsia="Calibri" w:cs="Times New Roman"/>
        </w:rPr>
        <w:t xml:space="preserve">в части отсутствия возможного конфликта интересов между Заказчиком и</w:t>
      </w:r>
      <w:r>
        <w:t xml:space="preserve"> Участником, признанным Победителем, последний обязан направить в адрес Заказчика Справку «Сведения о цепочке собственников, включая бенефициаров (в том числе конечных)», по форме в соответствии с </w:t>
      </w:r>
      <w:hyperlink w:tooltip="#Прил05_ФормыПобедителя" w:anchor="Прил05_ФормыПобедителя" w:history="1">
        <w:r>
          <w:rPr>
            <w:rStyle w:val="1311"/>
          </w:rPr>
          <w:t xml:space="preserve">Приложением № 5</w:t>
        </w:r>
      </w:hyperlink>
      <w:r>
        <w:t xml:space="preserve">, с приложением подтверждающих документов согласно перечню, установленному в Приложении 1 к указанной справке, одним из способов (на выбор):</w:t>
      </w:r>
      <w:r/>
    </w:p>
    <w:p>
      <w:pPr>
        <w:pStyle w:val="1338"/>
        <w:numPr>
          <w:ilvl w:val="0"/>
          <w:numId w:val="16"/>
        </w:numPr>
        <w:ind w:left="1701" w:hanging="567"/>
        <w:spacing w:before="120" w:after="0"/>
      </w:pPr>
      <w:r>
        <w:t xml:space="preserve">в бумажной форме: по адресу, определенному в подразделе </w:t>
      </w:r>
      <w:r>
        <w:fldChar w:fldCharType="begin"/>
      </w:r>
      <w:r>
        <w:instrText xml:space="preserve"> REF _Ref125359973 \r \h </w:instrText>
      </w:r>
      <w:r>
        <w:fldChar w:fldCharType="separate"/>
      </w:r>
      <w:r>
        <w:t xml:space="preserve">1.2</w:t>
      </w:r>
      <w:r>
        <w:fldChar w:fldCharType="end"/>
      </w:r>
      <w:r>
        <w:t xml:space="preserve"> как место подачи документов в отношении цепочки собственников, включая конечных бенефициаров (в срок не позднее 3 (трех) рабочих дней с даты официал</w:t>
      </w:r>
      <w:r>
        <w:t xml:space="preserve">ьного размещения Организатором итогового протокола по результатам закупки). Требуемые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собственников»;</w:t>
      </w:r>
      <w:r/>
    </w:p>
    <w:p>
      <w:pPr>
        <w:pStyle w:val="1338"/>
        <w:numPr>
          <w:ilvl w:val="0"/>
          <w:numId w:val="16"/>
        </w:numPr>
        <w:ind w:left="1701" w:hanging="567"/>
        <w:spacing w:before="0" w:after="0"/>
      </w:pPr>
      <w:r>
        <w:t xml:space="preserve">в электронной форме: через специально созданную на корпоративном сайте ПАО «РусГидро» учетную запись Победителя </w:t>
      </w:r>
      <w:r>
        <w:rPr>
          <w:rFonts w:eastAsia="Calibri" w:cs="Times New Roman"/>
        </w:rPr>
        <w:t xml:space="preserve">в «Личном кабинете контрагента»</w:t>
      </w:r>
      <w:r>
        <w:t xml:space="preserve"> (в срок не позднее 3 (трех) рабочих дней с даты получения уведомления о необходимости предоставить информацию о </w:t>
      </w:r>
      <w:r>
        <w:rPr>
          <w:rFonts w:eastAsia="Calibri" w:cs="Times New Roman"/>
        </w:rPr>
        <w:t xml:space="preserve">цепочке собственников, включая бенефициаров (в том числе конечных)</w:t>
      </w:r>
      <w:r>
        <w:t xml:space="preserve">. Уведомление (со ссылкой на учетную запись) направляется на указанный в заявке Победителя (в Анкете Участника (форма 5) (</w:t>
      </w:r>
      <w:hyperlink w:tooltip="#Прил04_ФормыЗаявки" w:anchor="Прил04_ФормыЗаявки" w:history="1">
        <w:r>
          <w:rPr>
            <w:rStyle w:val="1311"/>
          </w:rPr>
          <w:t xml:space="preserve">Приложения № 4</w:t>
        </w:r>
      </w:hyperlink>
      <w:r>
        <w:t xml:space="preserve">)) адрес электронной почты ответственного лица).</w:t>
      </w:r>
      <w:bookmarkEnd w:id="233"/>
      <w:r/>
      <w:r/>
    </w:p>
    <w:p>
      <w:pPr>
        <w:pStyle w:val="1338"/>
        <w:keepNext/>
        <w:spacing w:before="120" w:after="0"/>
      </w:pPr>
      <w:r/>
      <w:bookmarkStart w:id="234" w:name="_Ref125551776"/>
      <w:r>
        <w:t xml:space="preserve">В срок не позднее 3 (трех) рабочих дней с даты официального размещения Организатором итогового протокола по результатам закупки, Победитель обязан предоставить Заказчику (скан-копии в формате Portable Document Format (*</w:t>
      </w:r>
      <w:r>
        <w:rPr>
          <w:lang w:val="en-US"/>
        </w:rPr>
        <w:t xml:space="preserve">pdf</w:t>
      </w:r>
      <w:r>
        <w:t xml:space="preserve">)):</w:t>
      </w:r>
      <w:bookmarkEnd w:id="234"/>
      <w:r/>
      <w:r/>
    </w:p>
    <w:p>
      <w:pPr>
        <w:pStyle w:val="1339"/>
        <w:spacing w:before="120" w:after="0"/>
      </w:pPr>
      <w:r>
        <w:t xml:space="preserve">Заверение об обстоятельствах, представляющее собой гарантийное письмо об отсутствии обстоятельств, препятствующих заключению Договора, в случаях и по форме, предусмотренных </w:t>
      </w:r>
      <w:hyperlink w:tooltip="#Прил05_ФормыПобедителя" w:anchor="Прил05_ФормыПобедителя" w:history="1">
        <w:r>
          <w:rPr>
            <w:rStyle w:val="1311"/>
          </w:rPr>
          <w:t xml:space="preserve">Приложением № 5</w:t>
        </w:r>
      </w:hyperlink>
      <w:r>
        <w:t xml:space="preserve">;</w:t>
      </w:r>
      <w:r/>
    </w:p>
    <w:p>
      <w:pPr>
        <w:pStyle w:val="1339"/>
        <w:spacing w:before="0" w:after="0"/>
      </w:pPr>
      <w:r/>
      <w:bookmarkStart w:id="235" w:name="_Ref125552642"/>
      <w:r>
        <w:t xml:space="preserve">если он принимал участие в переторжке в очной форме – документы своей заявки, подлежащие корректировке в строгом соответствии с его предложениями, заявленными в ходе проведения переторжки (подраздел </w:t>
      </w:r>
      <w:r>
        <w:fldChar w:fldCharType="begin"/>
      </w:r>
      <w:r>
        <w:instrText xml:space="preserve"> REF _Ref127536359 \r \h </w:instrText>
      </w:r>
      <w:r>
        <w:fldChar w:fldCharType="separate"/>
      </w:r>
      <w:r>
        <w:t xml:space="preserve">4.11</w:t>
      </w:r>
      <w:r>
        <w:fldChar w:fldCharType="end"/>
      </w:r>
      <w:r>
        <w:t xml:space="preserve">)</w:t>
      </w:r>
      <w:bookmarkEnd w:id="235"/>
      <w:r>
        <w:t xml:space="preserve">;</w:t>
      </w:r>
      <w:r/>
    </w:p>
    <w:p>
      <w:pPr>
        <w:pStyle w:val="1338"/>
        <w:keepNext/>
        <w:spacing w:before="120" w:after="0"/>
      </w:pPr>
      <w:r/>
      <w:bookmarkStart w:id="236" w:name="_Ref125551072"/>
      <w:r>
        <w:t xml:space="preserve">Перед заключением Договора Победитель обязан предоставить Заказчику, не позднее сроков, установленных в пункте </w:t>
      </w:r>
      <w:r>
        <w:fldChar w:fldCharType="begin"/>
      </w:r>
      <w:r>
        <w:instrText xml:space="preserve"> REF _Ref130293821 \w \h </w:instrText>
      </w:r>
      <w:r>
        <w:fldChar w:fldCharType="separate"/>
      </w:r>
      <w:r>
        <w:t xml:space="preserve">5.2.1</w:t>
      </w:r>
      <w:r>
        <w:fldChar w:fldCharType="end"/>
      </w:r>
      <w:r>
        <w:t xml:space="preserve">, в целях подтверждения своего соответствия обязательному требованию к Участникам, указанному в пункте </w:t>
      </w:r>
      <w:r>
        <w:fldChar w:fldCharType="begin"/>
      </w:r>
      <w:r>
        <w:instrText xml:space="preserve"> REF _Ref125552433 \w \h </w:instrText>
      </w:r>
      <w:r>
        <w:fldChar w:fldCharType="separate"/>
      </w:r>
      <w:r>
        <w:t xml:space="preserve">1</w:t>
      </w:r>
      <w:r>
        <w:fldChar w:fldCharType="end"/>
      </w:r>
      <w:r>
        <w:t xml:space="preserve"> подраздела </w:t>
      </w:r>
      <w:r>
        <w:fldChar w:fldCharType="begin"/>
      </w:r>
      <w:r>
        <w:instrText xml:space="preserve"> REF _Ref125361435 \w \h </w:instrText>
      </w:r>
      <w:r>
        <w:fldChar w:fldCharType="separate"/>
      </w:r>
      <w:r>
        <w:t xml:space="preserve">8.2</w:t>
      </w:r>
      <w:r>
        <w:fldChar w:fldCharType="end"/>
      </w:r>
      <w:r>
        <w:t xml:space="preserve"> (</w:t>
      </w:r>
      <w:hyperlink w:tooltip="#Прил03_ТребованияУчастникам" w:anchor="Прил03_ТребованияУчастникам" w:history="1">
        <w:r>
          <w:rPr>
            <w:rStyle w:val="1311"/>
          </w:rPr>
          <w:t xml:space="preserve">Приложение № 3</w:t>
        </w:r>
      </w:hyperlink>
      <w:r>
        <w:t xml:space="preserve">), следующие документы (скан-копии в формате Portable Document Format (*</w:t>
      </w:r>
      <w:r>
        <w:rPr>
          <w:lang w:val="en-US"/>
        </w:rPr>
        <w:t xml:space="preserve">pdf</w:t>
      </w:r>
      <w:r>
        <w:t xml:space="preserve">))</w:t>
      </w:r>
      <w:r>
        <w:rPr>
          <w:rStyle w:val="1307"/>
        </w:rPr>
        <w:footnoteReference w:id="12"/>
      </w:r>
      <w:r>
        <w:t xml:space="preserve">:</w:t>
      </w:r>
      <w:bookmarkEnd w:id="236"/>
      <w:r/>
      <w:r/>
    </w:p>
    <w:p>
      <w:pPr>
        <w:pStyle w:val="1339"/>
        <w:keepNext/>
        <w:spacing w:before="120" w:after="0"/>
      </w:pPr>
      <w:r>
        <w:t xml:space="preserve">для юридического лица:</w:t>
      </w:r>
      <w:r/>
    </w:p>
    <w:p>
      <w:pPr>
        <w:pStyle w:val="1340"/>
        <w:spacing w:before="120" w:after="0"/>
      </w:pPr>
      <w:r>
        <w:t xml:space="preserve">копия устава в действующей редакции с отметкой ИФНС либо копия нотариально заверенного устава (с отметкой нотариуса);</w:t>
      </w:r>
      <w:r/>
    </w:p>
    <w:p>
      <w:pPr>
        <w:pStyle w:val="1340"/>
        <w:spacing w:before="0" w:after="0"/>
      </w:pPr>
      <w:r/>
      <w:bookmarkStart w:id="237" w:name="_Ref125638686"/>
      <w:r>
        <w:t xml:space="preserve">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 заверенные Победителем;</w:t>
      </w:r>
      <w:bookmarkEnd w:id="237"/>
      <w:r/>
      <w:r/>
    </w:p>
    <w:p>
      <w:pPr>
        <w:pStyle w:val="1340"/>
        <w:spacing w:before="0" w:after="0"/>
      </w:pPr>
      <w:r>
        <w:t xml:space="preserve">если договор подписывается лицом, действующим</w:t>
      </w:r>
      <w:r>
        <w:t xml:space="preserve"> на основании доверенности, дополнительно предоставляется соответствующая доверенность либо ее нотариально заверенная копия (с указанием правомочий на подписание договора) и документы, подтверждающие соответствующие полномочия лица, выдавшего доверенность;</w:t>
      </w:r>
      <w:r/>
    </w:p>
    <w:p>
      <w:pPr>
        <w:pStyle w:val="1340"/>
        <w:spacing w:before="0" w:after="0"/>
      </w:pPr>
      <w:r>
        <w:t xml:space="preserve">если договор подписывается в электронной форме физическим лицом дополнительно предоставляется машиночитаемая доверенность (посредством информационных систем, на которых проводится закупка);</w:t>
      </w:r>
      <w:r/>
    </w:p>
    <w:p>
      <w:pPr>
        <w:pStyle w:val="1339"/>
        <w:spacing w:before="120" w:after="0"/>
      </w:pPr>
      <w:r>
        <w:t xml:space="preserve">для лица, зарегистрированного вне Российской Федерации: выписка из торгового реестра страны регистрации иностранного Участника;</w:t>
      </w:r>
      <w:r/>
    </w:p>
    <w:p>
      <w:pPr>
        <w:pStyle w:val="1339"/>
        <w:spacing w:before="0" w:after="0"/>
      </w:pPr>
      <w:r>
        <w:t xml:space="preserve">для физического лица: нотариально заверенная копия всех страниц документа, удостоверяющего личность (паспорта);</w:t>
      </w:r>
      <w:r/>
    </w:p>
    <w:p>
      <w:pPr>
        <w:pStyle w:val="1339"/>
        <w:spacing w:before="0" w:after="0"/>
      </w:pPr>
      <w:r/>
      <w:bookmarkStart w:id="238" w:name="_Ref125361554"/>
      <w:r>
        <w:t xml:space="preserve">если Договор заключается с лидером Коллективного участника, то в обязательном порядке предоставляется оригинал и (или) нотариально заверенная копия Соглашения между членами Коллективного участника, указанного в пункте </w:t>
      </w:r>
      <w:r>
        <w:fldChar w:fldCharType="begin"/>
      </w:r>
      <w:r>
        <w:instrText xml:space="preserve"> REF _Ref125366972 \r \h </w:instrText>
      </w:r>
      <w:r>
        <w:fldChar w:fldCharType="separate"/>
      </w:r>
      <w:r>
        <w:t xml:space="preserve">3.2.3</w:t>
      </w:r>
      <w:r>
        <w:fldChar w:fldCharType="end"/>
      </w:r>
      <w:r>
        <w:t xml:space="preserve">.</w:t>
      </w:r>
      <w:bookmarkEnd w:id="238"/>
      <w:r/>
      <w:r/>
    </w:p>
    <w:p>
      <w:pPr>
        <w:pStyle w:val="1338"/>
        <w:spacing w:before="120" w:after="0"/>
      </w:pPr>
      <w:r>
        <w:t xml:space="preserve">Если в соответствии с законодательством и уставом Заказчика потребуется предварительное одобрение заключаемого </w:t>
      </w:r>
      <w:r>
        <w:t xml:space="preserve">на 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не позднее чем через 5 (пять) календарных дней с даты указанного одобрения.</w:t>
      </w:r>
      <w:r/>
    </w:p>
    <w:p>
      <w:pPr>
        <w:pStyle w:val="1338"/>
        <w:spacing w:before="0" w:after="0"/>
      </w:pPr>
      <w:r>
        <w:t xml:space="preserve">В случае обжалования</w:t>
      </w:r>
      <w:r>
        <w:t xml:space="preserve">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такого обжалования (за исключением случая возврата на предыдущий этап закупки).</w:t>
      </w:r>
      <w:r/>
    </w:p>
    <w:p>
      <w:pPr>
        <w:pStyle w:val="1338"/>
        <w:keepNext/>
        <w:spacing w:before="0" w:after="0"/>
      </w:pPr>
      <w:r/>
      <w:bookmarkStart w:id="239" w:name="_Ref132288402"/>
      <w:r>
        <w:t xml:space="preserve">При определении условий Договора по результатам закупки используются следующие документы с соблюдением указанной иерархии в порядке перечисления (в случае их противоречия):</w:t>
      </w:r>
      <w:bookmarkEnd w:id="239"/>
      <w:r/>
      <w:r/>
    </w:p>
    <w:p>
      <w:pPr>
        <w:pStyle w:val="1339"/>
        <w:spacing w:before="120" w:after="0"/>
      </w:pPr>
      <w:r>
        <w:t xml:space="preserve">протокол преддоговорных переговоров между Заказчиком и Победителем (при проведении таковых);</w:t>
      </w:r>
      <w:r/>
    </w:p>
    <w:p>
      <w:pPr>
        <w:pStyle w:val="1339"/>
        <w:spacing w:before="0" w:after="0"/>
      </w:pPr>
      <w:r>
        <w:t xml:space="preserve">итоговый протокол по результатам закупки;</w:t>
      </w:r>
      <w:r/>
    </w:p>
    <w:p>
      <w:pPr>
        <w:pStyle w:val="1339"/>
        <w:spacing w:before="0" w:after="0"/>
      </w:pPr>
      <w:r>
        <w:t xml:space="preserve">Извещение и Документация о закупке со всеми изменениями;</w:t>
      </w:r>
      <w:r/>
    </w:p>
    <w:p>
      <w:pPr>
        <w:pStyle w:val="1339"/>
        <w:spacing w:before="0" w:after="0"/>
      </w:pPr>
      <w:r>
        <w:t xml:space="preserve">заявка Победителя со всеми дополнениями и разъяснениями.</w:t>
      </w:r>
      <w:r/>
    </w:p>
    <w:p>
      <w:pPr>
        <w:pStyle w:val="1338"/>
        <w:spacing w:before="120" w:after="0"/>
      </w:pPr>
      <w:r/>
      <w:bookmarkStart w:id="240" w:name="_Ref125368506"/>
      <w:r>
        <w:t xml:space="preserve">Сведения о заключенном Договоре в течение 3 (трех) рабочих дней со дня заключения такого Договора вносятся Заказчиком в Реестр договор</w:t>
      </w:r>
      <w:r>
        <w:t xml:space="preserve">ов в ЕИС (если размещение таких сведений допустимо Законом 223-ФЗ). Если при заключении и исполнении Договора изменятся количество, объем, цена закупаемой продукции или сроки исполнения Договора (по сравнению с указанными в итоговом протоколе по результата</w:t>
      </w:r>
      <w:r>
        <w:t xml:space="preserve">м закупки), то в течение 10 (десяти) календарных дней со дня внесения таких изменений в Договор соответствующая информация с указанием измененных условий Договора также размещается Заказчиком в ЕИС (если размещение таких сведений допустимо Законом 223-ФЗ).</w:t>
      </w:r>
      <w:bookmarkEnd w:id="240"/>
      <w:r/>
      <w:r/>
    </w:p>
    <w:p>
      <w:pPr>
        <w:pStyle w:val="1338"/>
        <w:keepNext/>
        <w:spacing w:before="0" w:after="0"/>
      </w:pPr>
      <w:r/>
      <w:bookmarkStart w:id="241" w:name="_Ref125552524"/>
      <w:r>
        <w:t xml:space="preserve">Если Договор заключается в электронной форме:</w:t>
      </w:r>
      <w:r/>
    </w:p>
    <w:p>
      <w:pPr>
        <w:pStyle w:val="1339"/>
        <w:spacing w:before="120" w:after="0"/>
      </w:pPr>
      <w:r/>
      <w:bookmarkStart w:id="242" w:name="_Ref164248655"/>
      <w:r>
        <w:t xml:space="preserve">то он заключается с использованием</w:t>
      </w:r>
      <w:r>
        <w:t xml:space="preserve"> Системы ЭДО, в том числе подписывается усиленной квалифицированной электронной подписью уполномоченного лица Победителя и Заказчика соответственно. Дополнительная информация об особенностях заключения Договора в электронной форме, содержатся в подразделе </w:t>
      </w:r>
      <w:r>
        <w:fldChar w:fldCharType="begin"/>
      </w:r>
      <w:r>
        <w:instrText xml:space="preserve"> REF _Ref125359973 \r \h </w:instrText>
      </w:r>
      <w:r>
        <w:fldChar w:fldCharType="separate"/>
      </w:r>
      <w:r>
        <w:t xml:space="preserve">1.2</w:t>
      </w:r>
      <w:r>
        <w:fldChar w:fldCharType="end"/>
      </w:r>
      <w:bookmarkEnd w:id="241"/>
      <w:r/>
      <w:bookmarkEnd w:id="242"/>
      <w:r>
        <w:t xml:space="preserve">;</w:t>
      </w:r>
      <w:r/>
    </w:p>
    <w:p>
      <w:pPr>
        <w:pStyle w:val="1339"/>
        <w:spacing w:before="0" w:after="0"/>
      </w:pPr>
      <w:r/>
      <w:bookmarkStart w:id="243" w:name="_Ref164248170"/>
      <w:r>
        <w:t xml:space="preserve">Заказчик в течение установленного в пункте </w:t>
      </w:r>
      <w:r>
        <w:fldChar w:fldCharType="begin"/>
      </w:r>
      <w:r>
        <w:instrText xml:space="preserve"> REF _Ref130293821 \r \h </w:instrText>
      </w:r>
      <w:r>
        <w:fldChar w:fldCharType="separate"/>
      </w:r>
      <w:r>
        <w:t xml:space="preserve">5.2.1</w:t>
      </w:r>
      <w:r>
        <w:fldChar w:fldCharType="end"/>
      </w:r>
      <w:r>
        <w:t xml:space="preserve"> срока направляет в адрес Победителя подписанный со своей стороны Проект договора с использованием функционала Системы ЭДО.</w:t>
      </w:r>
      <w:bookmarkEnd w:id="243"/>
      <w:r/>
      <w:r/>
    </w:p>
    <w:p>
      <w:pPr>
        <w:pStyle w:val="1338"/>
        <w:spacing w:before="120" w:after="0"/>
      </w:pPr>
      <w:r>
        <w:t xml:space="preserve">Если до момента заключения с Договора в отн</w:t>
      </w:r>
      <w:r>
        <w:t xml:space="preserve">ошении Победителя была проведена повторная проверка в рамках мониторинга аккредитованных поставщиков (в соответствии с Положением об аккредитации), и по результатам такой проверки ему присвоен статус «не аккредитован», то он утрачивает статус Победителя, а</w:t>
      </w:r>
      <w:r>
        <w:t xml:space="preserve"> 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 (при наличии у него статуса «аккредитован» / «аккредитация не требуется»).</w:t>
      </w:r>
      <w:r/>
    </w:p>
    <w:p>
      <w:pPr>
        <w:pStyle w:val="1337"/>
        <w:spacing w:before="360" w:after="0"/>
      </w:pPr>
      <w:r/>
      <w:bookmarkStart w:id="244" w:name="_Toc230928864"/>
      <w:r/>
      <w:bookmarkStart w:id="245" w:name="_Ref125552570"/>
      <w:r>
        <w:t xml:space="preserve">Преддоговорные переговоры</w:t>
      </w:r>
      <w:bookmarkEnd w:id="244"/>
      <w:r/>
      <w:bookmarkEnd w:id="245"/>
      <w:r/>
      <w:r/>
    </w:p>
    <w:p>
      <w:pPr>
        <w:pStyle w:val="1338"/>
        <w:keepNext/>
        <w:spacing w:before="120" w:after="0"/>
      </w:pPr>
      <w:r>
        <w:t xml:space="preserve">Проведение преддоговорных переговоров между Заказчиком и Победителем допускается только в отношении следующих вопросов:</w:t>
      </w:r>
      <w:r/>
    </w:p>
    <w:p>
      <w:pPr>
        <w:pStyle w:val="1339"/>
        <w:spacing w:before="120" w:after="0"/>
      </w:pPr>
      <w:r>
        <w:t xml:space="preserve">снижение цены Договора (при этом объем закупаемой продукции, а также технические характеристики продукции, определенные в Документации о закупке и заявке Победителя, остаются неизменными);</w:t>
      </w:r>
      <w:r/>
    </w:p>
    <w:p>
      <w:pPr>
        <w:pStyle w:val="1339"/>
        <w:spacing w:before="0" w:after="0"/>
      </w:pPr>
      <w:r>
        <w:t xml:space="preserve">увеличение объема закупаемой продукции (при этом цена Договора и технические характеристики продукции, определенные в Документации о закупке и заявке Победителя, остаются неизменными);</w:t>
      </w:r>
      <w:r/>
    </w:p>
    <w:p>
      <w:pPr>
        <w:pStyle w:val="1339"/>
        <w:spacing w:before="0" w:after="0"/>
      </w:pPr>
      <w:r>
        <w:t xml:space="preserve">уточнение сроков исполнения обязательств по Договору (если заключение Договора и исполнение обязательств по нему не могут быть проведены в установленные сроки в связи с обжалованием результатов закупки в адрес Заказчика или антимонопольного</w:t>
      </w:r>
      <w:r>
        <w:t xml:space="preserve"> органа, в связи с административным производством, судебным разбирательством, принятием органами управления Заказчика решения об одобрении Договора по основаниям, предусмотренным законодательством, уставом и (или) локальными нормативными актами Заказчика);</w:t>
      </w:r>
      <w:r/>
    </w:p>
    <w:p>
      <w:pPr>
        <w:pStyle w:val="1339"/>
        <w:spacing w:before="0" w:after="0"/>
      </w:pPr>
      <w:r>
        <w:t xml:space="preserve">изменение условий Договора в связи с изменениями законодательства или предписаниями органов государственной власти, органов местного самоуправления;</w:t>
      </w:r>
      <w:r/>
    </w:p>
    <w:p>
      <w:pPr>
        <w:pStyle w:val="1339"/>
        <w:spacing w:before="0" w:after="0"/>
      </w:pPr>
      <w:r>
        <w:t xml:space="preserve">уточнение условий исполнения договора в луч</w:t>
      </w:r>
      <w:r>
        <w:t xml:space="preserve">шую для Заказчика сторону, в том числе: сокращение сроков исполнения Договора; отказ Победителя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r/>
    </w:p>
    <w:p>
      <w:pPr>
        <w:pStyle w:val="1338"/>
        <w:spacing w:before="120" w:after="0"/>
      </w:pPr>
      <w:r>
        <w:t xml:space="preserve">В любом случае не допускаются переговоры, направленные на изменение условий заключаемого Договора, которые ведут к ухудшению его условий для Заказчика.</w:t>
      </w:r>
      <w:r/>
    </w:p>
    <w:p>
      <w:pPr>
        <w:pStyle w:val="1338"/>
        <w:spacing w:before="0" w:after="0"/>
      </w:pPr>
      <w:r>
        <w:t xml:space="preserve">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преддоговорных переговоров определяет Заказчик и (или) Организатор.</w:t>
      </w:r>
      <w:r/>
    </w:p>
    <w:p>
      <w:pPr>
        <w:pStyle w:val="1338"/>
        <w:spacing w:before="0" w:after="0"/>
      </w:pPr>
      <w:r>
        <w:t xml:space="preserve">Результаты преддоговорных переговоров фиксируются в форме протокола</w:t>
      </w:r>
      <w:r>
        <w:rPr>
          <w:rStyle w:val="1307"/>
        </w:rPr>
        <w:footnoteReference w:id="13"/>
      </w:r>
      <w:r>
        <w:t xml:space="preserve">, подписываемого Заказчиком и Победителем, который официально размещается в течение 3 (трех) календарных дней с момента их проведения, и должны быть учтены при заключении Договора.</w:t>
      </w:r>
      <w:r/>
    </w:p>
    <w:p>
      <w:pPr>
        <w:pStyle w:val="1338"/>
        <w:spacing w:before="0" w:after="0"/>
      </w:pPr>
      <w:r>
        <w:t xml:space="preserve">Победитель вправе отказаться от участия в преддоговорных переговорах, при этом такой отказ не является отказом от заключения Договора. Если Заказчик и Победитель в ходе проведения преддоговорных переговоров не пришли к соглашению по вопросу положен</w:t>
      </w:r>
      <w:r>
        <w:t xml:space="preserve">ий, входящих в состав заключаемого Договора, или Победитель отказался от участия в преддоговорных переговорах, Договор заключается на условиях Документации о закупке и заявки такого Победителя (со всеми изменениями и дополнениями) в соответствии с пунктом </w:t>
      </w:r>
      <w:r>
        <w:fldChar w:fldCharType="begin"/>
      </w:r>
      <w:r>
        <w:instrText xml:space="preserve"> REF _Ref132288402 \r \h </w:instrText>
      </w:r>
      <w:r>
        <w:fldChar w:fldCharType="separate"/>
      </w:r>
      <w:r>
        <w:t xml:space="preserve">5.2.9</w:t>
      </w:r>
      <w:r>
        <w:fldChar w:fldCharType="end"/>
      </w:r>
      <w:r>
        <w:t xml:space="preserve">.</w:t>
      </w:r>
      <w:r/>
    </w:p>
    <w:p>
      <w:pPr>
        <w:pStyle w:val="1337"/>
        <w:spacing w:before="360" w:after="0"/>
      </w:pPr>
      <w:r/>
      <w:bookmarkStart w:id="246" w:name="_Toc230928865"/>
      <w:r/>
      <w:bookmarkStart w:id="247" w:name="_Ref125367068"/>
      <w:r>
        <w:t xml:space="preserve">Уклонение Победителя от заключения Договора</w:t>
      </w:r>
      <w:bookmarkEnd w:id="246"/>
      <w:r/>
      <w:bookmarkEnd w:id="247"/>
      <w:r/>
      <w:r/>
    </w:p>
    <w:p>
      <w:pPr>
        <w:pStyle w:val="1338"/>
        <w:keepNext/>
        <w:spacing w:before="120" w:after="0"/>
      </w:pPr>
      <w:r>
        <w:t xml:space="preserve">Если Победитель закупки:</w:t>
      </w:r>
      <w:r/>
    </w:p>
    <w:p>
      <w:pPr>
        <w:pStyle w:val="1339"/>
        <w:spacing w:before="120" w:after="0"/>
      </w:pPr>
      <w:r>
        <w:t xml:space="preserve">не подпишет Договор в установленные Документацией о закупке сроки (пункт </w:t>
      </w:r>
      <w:r>
        <w:fldChar w:fldCharType="begin"/>
      </w:r>
      <w:r>
        <w:instrText xml:space="preserve"> REF _Ref130293821 \r \h </w:instrText>
      </w:r>
      <w:r>
        <w:fldChar w:fldCharType="separate"/>
      </w:r>
      <w:r>
        <w:t xml:space="preserve">5.2.1</w:t>
      </w:r>
      <w:r>
        <w:fldChar w:fldCharType="end"/>
      </w:r>
      <w:r>
        <w:t xml:space="preserve">);</w:t>
      </w:r>
      <w:r/>
    </w:p>
    <w:p>
      <w:pPr>
        <w:pStyle w:val="1339"/>
        <w:spacing w:before="0" w:after="0"/>
      </w:pPr>
      <w:r>
        <w:t xml:space="preserve">откажется от подписания Договора на условиях, определяемых в соответствии с пунктом </w:t>
      </w:r>
      <w:r>
        <w:fldChar w:fldCharType="begin"/>
      </w:r>
      <w:r>
        <w:instrText xml:space="preserve"> REF _Ref132288402 \r \h </w:instrText>
      </w:r>
      <w:r>
        <w:fldChar w:fldCharType="separate"/>
      </w:r>
      <w:r>
        <w:t xml:space="preserve">5.2.9</w:t>
      </w:r>
      <w:r>
        <w:fldChar w:fldCharType="end"/>
      </w:r>
      <w:r>
        <w:t xml:space="preserve">;</w:t>
      </w:r>
      <w:r/>
    </w:p>
    <w:p>
      <w:pPr>
        <w:pStyle w:val="1339"/>
        <w:spacing w:before="0" w:after="0"/>
      </w:pPr>
      <w:r>
        <w:t xml:space="preserve">не раскроет информацию в отношении всей цепочки собственников, включая бенефициаров (в том числе конечных), по установленной форме (</w:t>
      </w:r>
      <w:hyperlink w:tooltip="#Прил05_ФормыПобедителя" w:anchor="Прил05_ФормыПобедителя" w:history="1">
        <w:r>
          <w:rPr>
            <w:rStyle w:val="1311"/>
          </w:rPr>
          <w:t xml:space="preserve">Приложение № 5</w:t>
        </w:r>
      </w:hyperlink>
      <w:r>
        <w:t xml:space="preserve">), с приложением подтверждающих документов;</w:t>
      </w:r>
      <w:r/>
    </w:p>
    <w:p>
      <w:pPr>
        <w:pStyle w:val="1339"/>
        <w:spacing w:before="0" w:after="0"/>
      </w:pPr>
      <w:r>
        <w:t xml:space="preserve">не предоставит Заверение об обстоятельствах, представляющее собой гарантийное письмо об отсутствии обстоятельств, препятствующих заключению Договора, в случаях и по форме, предусмотренных </w:t>
      </w:r>
      <w:hyperlink w:tooltip="#Прил05_ФормыПобедителя" w:anchor="Прил05_ФормыПобедителя" w:history="1">
        <w:r>
          <w:rPr>
            <w:rStyle w:val="1311"/>
          </w:rPr>
          <w:t xml:space="preserve">Приложением № 5</w:t>
        </w:r>
      </w:hyperlink>
      <w:r>
        <w:t xml:space="preserve">;</w:t>
      </w:r>
      <w:r/>
    </w:p>
    <w:p>
      <w:pPr>
        <w:pStyle w:val="1339"/>
        <w:spacing w:before="0" w:after="0"/>
      </w:pPr>
      <w:r>
        <w:t xml:space="preserve">не предоставит в установленный Заказчиком срок документы, указанные в пункте </w:t>
      </w:r>
      <w:r>
        <w:fldChar w:fldCharType="begin"/>
      </w:r>
      <w:r>
        <w:instrText xml:space="preserve"> REF _Ref125551776 \r \h </w:instrText>
      </w:r>
      <w:r>
        <w:fldChar w:fldCharType="separate"/>
      </w:r>
      <w:r>
        <w:t xml:space="preserve">5.2.5</w:t>
      </w:r>
      <w:r>
        <w:fldChar w:fldCharType="end"/>
      </w:r>
      <w:r>
        <w:t xml:space="preserve">, или предоставит их с нарушением требований, установленных в Документации о закупке;</w:t>
      </w:r>
      <w:r/>
    </w:p>
    <w:p>
      <w:pPr>
        <w:pStyle w:val="1339"/>
        <w:spacing w:before="0" w:after="0"/>
      </w:pPr>
      <w:r>
        <w:t xml:space="preserve">не предоставит в установленный Заказчиком срок документы, указанные в пункте </w:t>
      </w:r>
      <w:r>
        <w:fldChar w:fldCharType="begin"/>
      </w:r>
      <w:r>
        <w:instrText xml:space="preserve"> REF _Ref125551072 \w \h </w:instrText>
      </w:r>
      <w:r>
        <w:fldChar w:fldCharType="separate"/>
      </w:r>
      <w:r>
        <w:t xml:space="preserve">5.2.6</w:t>
      </w:r>
      <w:r>
        <w:fldChar w:fldCharType="end"/>
      </w:r>
      <w:r>
        <w:t xml:space="preserve">, или предоставит их с нарушением требований, установленных в Документации о закупке;</w:t>
      </w:r>
      <w:r/>
    </w:p>
    <w:p>
      <w:pPr>
        <w:pStyle w:val="1339"/>
        <w:spacing w:before="0" w:after="0"/>
      </w:pPr>
      <w:r>
        <w:t xml:space="preserve">не предоставит копии документов, обязательных к предоставлению Победителем закупки в соответствии с требованиями </w:t>
      </w:r>
      <w:hyperlink w:tooltip="#Прил01_ТехТребования" w:anchor="Прил01_ТехТребования" w:history="1">
        <w:r>
          <w:rPr>
            <w:rStyle w:val="1311"/>
          </w:rPr>
          <w:t xml:space="preserve">Приложения № 1 – Технические требования</w:t>
        </w:r>
      </w:hyperlink>
      <w:r>
        <w:t xml:space="preserve"> (в случае установления таковых);</w:t>
      </w:r>
      <w:r/>
    </w:p>
    <w:p>
      <w:pPr>
        <w:pStyle w:val="1339"/>
        <w:spacing w:before="0" w:after="0"/>
      </w:pPr>
      <w:r>
        <w:t xml:space="preserve">не предоставит обеспечение исполнения договора до момента его заключения, если Документация о закупке предусматривает обеспечение исполнения договора с соответствующими обязательствами;</w:t>
      </w:r>
      <w:r/>
    </w:p>
    <w:p>
      <w:pPr>
        <w:pStyle w:val="1339"/>
        <w:spacing w:before="0" w:after="0"/>
      </w:pPr>
      <w:r>
        <w:t xml:space="preserve">не выполнит другие условия, прямо предусмотренные Документацией о закупке,</w:t>
      </w:r>
      <w:r/>
    </w:p>
    <w:p>
      <w:pPr>
        <w:pStyle w:val="1342"/>
        <w:ind w:left="1134" w:firstLine="0"/>
      </w:pPr>
      <w:r>
        <w:t xml:space="preserve">то он (по истечению установленных в подразделе </w:t>
      </w:r>
      <w:r>
        <w:fldChar w:fldCharType="begin"/>
      </w:r>
      <w:r>
        <w:instrText xml:space="preserve"> REF _Ref138232981 \r \h </w:instrText>
      </w:r>
      <w:r>
        <w:fldChar w:fldCharType="separate"/>
      </w:r>
      <w:r>
        <w:t xml:space="preserve">5.2</w:t>
      </w:r>
      <w:r>
        <w:fldChar w:fldCharType="end"/>
      </w:r>
      <w:r>
        <w:t xml:space="preserve"> сроков на заключение Договора) призна</w:t>
      </w:r>
      <w:r>
        <w:t xml:space="preserve">ется уклонившимся от заключения Договора и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w:t>
      </w:r>
      <w:r/>
    </w:p>
    <w:p>
      <w:pPr>
        <w:pStyle w:val="1336"/>
        <w:spacing w:before="0" w:after="0"/>
      </w:pPr>
      <w:r/>
      <w:bookmarkStart w:id="248" w:name="_Toc230928866"/>
      <w:r/>
      <w:bookmarkStart w:id="249" w:name="Прил01_ТехТребования"/>
      <w:r/>
      <w:bookmarkStart w:id="250" w:name="_Ref125370843"/>
      <w:r/>
      <w:bookmarkStart w:id="251" w:name="_Ref125370750"/>
      <w:r/>
      <w:bookmarkStart w:id="252" w:name="_Ref125370746"/>
      <w:r/>
      <w:bookmarkStart w:id="253" w:name="_Ref125370741"/>
      <w:r/>
      <w:bookmarkStart w:id="254" w:name="_Ref125370732"/>
      <w:r/>
      <w:bookmarkStart w:id="255" w:name="_Ref125364201"/>
      <w:r/>
      <w:bookmarkStart w:id="256" w:name="_Ref125364088"/>
      <w:r/>
      <w:bookmarkStart w:id="257" w:name="_Ref125363752"/>
      <w:r/>
      <w:bookmarkStart w:id="258" w:name="_Ref125363600"/>
      <w:r/>
      <w:bookmarkStart w:id="259" w:name="_Ref125363034"/>
      <w:r/>
      <w:bookmarkStart w:id="260" w:name="_Ref125363023"/>
      <w:r/>
      <w:bookmarkStart w:id="261" w:name="_Ref125363016"/>
      <w:r>
        <w:t xml:space="preserve">Приложение № 1 – Технические требования</w:t>
      </w:r>
      <w:bookmarkEnd w:id="248"/>
      <w:r/>
      <w:bookmarkEnd w:id="249"/>
      <w:r/>
      <w:bookmarkEnd w:id="250"/>
      <w:r/>
      <w:bookmarkEnd w:id="251"/>
      <w:r/>
      <w:bookmarkEnd w:id="252"/>
      <w:r/>
      <w:bookmarkEnd w:id="253"/>
      <w:r/>
      <w:bookmarkEnd w:id="254"/>
      <w:r/>
      <w:bookmarkEnd w:id="255"/>
      <w:r/>
      <w:bookmarkEnd w:id="256"/>
      <w:r/>
      <w:bookmarkEnd w:id="257"/>
      <w:r/>
      <w:bookmarkEnd w:id="258"/>
      <w:r/>
      <w:bookmarkEnd w:id="259"/>
      <w:r/>
      <w:bookmarkEnd w:id="260"/>
      <w:r/>
      <w:bookmarkEnd w:id="261"/>
      <w:r/>
      <w:r/>
    </w:p>
    <w:p>
      <w:pPr>
        <w:pStyle w:val="1337"/>
        <w:spacing w:before="360" w:after="0"/>
      </w:pPr>
      <w:r/>
      <w:bookmarkStart w:id="262" w:name="_Toc230928867"/>
      <w:r>
        <w:t xml:space="preserve">Пояснения к Техническим требованиям</w:t>
      </w:r>
      <w:bookmarkEnd w:id="262"/>
      <w:r/>
      <w:r/>
    </w:p>
    <w:p>
      <w:pPr>
        <w:pStyle w:val="1338"/>
        <w:spacing w:before="120" w:after="0"/>
      </w:pPr>
      <w:r>
        <w:t xml:space="preserve">Технические требования к закупаемой продукции приведены в отдельном файле (предоставляются отдельным документом в составе Документации о закупке), являющимся Приложением № 1 к Документации о закупке.</w:t>
      </w:r>
      <w:r/>
    </w:p>
    <w:p>
      <w:pPr>
        <w:pStyle w:val="1336"/>
        <w:spacing w:before="0" w:after="0"/>
      </w:pPr>
      <w:r/>
      <w:bookmarkStart w:id="263" w:name="_Toc230928868"/>
      <w:r/>
      <w:bookmarkStart w:id="264" w:name="Прил02_ПроектДоговора"/>
      <w:r/>
      <w:bookmarkStart w:id="265" w:name="_Ref125370754"/>
      <w:r/>
      <w:bookmarkStart w:id="266" w:name="_Ref125364206"/>
      <w:r/>
      <w:bookmarkStart w:id="267" w:name="_Ref125364081"/>
      <w:r/>
      <w:bookmarkStart w:id="268" w:name="_Ref125363759"/>
      <w:r/>
      <w:bookmarkStart w:id="269" w:name="_Ref125363605"/>
      <w:r/>
      <w:bookmarkStart w:id="270" w:name="_Ref125363040"/>
      <w:r/>
      <w:bookmarkStart w:id="271" w:name="_Ref125361746"/>
      <w:r>
        <w:t xml:space="preserve">Приложение № 2 – Проект договора</w:t>
      </w:r>
      <w:bookmarkEnd w:id="263"/>
      <w:r/>
      <w:bookmarkEnd w:id="264"/>
      <w:r/>
      <w:bookmarkEnd w:id="265"/>
      <w:r/>
      <w:bookmarkEnd w:id="266"/>
      <w:r/>
      <w:bookmarkEnd w:id="267"/>
      <w:r/>
      <w:bookmarkEnd w:id="268"/>
      <w:r/>
      <w:bookmarkEnd w:id="269"/>
      <w:r/>
      <w:bookmarkEnd w:id="270"/>
      <w:r/>
      <w:bookmarkEnd w:id="271"/>
      <w:r/>
      <w:r/>
    </w:p>
    <w:p>
      <w:pPr>
        <w:pStyle w:val="1337"/>
        <w:spacing w:before="360" w:after="0"/>
      </w:pPr>
      <w:r/>
      <w:bookmarkStart w:id="272" w:name="_Toc230928869"/>
      <w:r>
        <w:t xml:space="preserve">Пояснения к Проекту договора</w:t>
      </w:r>
      <w:bookmarkEnd w:id="272"/>
      <w:r/>
      <w:r/>
    </w:p>
    <w:p>
      <w:pPr>
        <w:pStyle w:val="1338"/>
        <w:spacing w:before="120" w:after="0"/>
      </w:pPr>
      <w:r>
        <w:t xml:space="preserve">Проект договора, заключаемого по результатам закупки, приведен в отдельном файле (предоставляется отдельным документом в составе Документации о закупке), являющимся Приложением № 2 к Документации о закупке.</w:t>
      </w:r>
      <w:r/>
    </w:p>
    <w:p>
      <w:pPr>
        <w:pStyle w:val="1338"/>
        <w:spacing w:before="0" w:after="0"/>
      </w:pPr>
      <w:r>
        <w:t xml:space="preserve">Все положения Проекта договора являются существенными условиями для Заказчика, за исключением пунктов договора, указанных в подразделе </w:t>
      </w:r>
      <w:r>
        <w:fldChar w:fldCharType="begin"/>
      </w:r>
      <w:r>
        <w:instrText xml:space="preserve"> REF _Ref125359973 \r \h </w:instrText>
      </w:r>
      <w:r>
        <w:fldChar w:fldCharType="separate"/>
      </w:r>
      <w:r>
        <w:t xml:space="preserve">1.2</w:t>
      </w:r>
      <w:r>
        <w:fldChar w:fldCharType="end"/>
      </w:r>
      <w:r>
        <w:t xml:space="preserve"> </w:t>
      </w:r>
      <w:bookmarkStart w:id="273" w:name="_Hlk132883778"/>
      <w:r>
        <w:t xml:space="preserve">как «Некритичные пункты Проекта договора»</w:t>
      </w:r>
      <w:bookmarkEnd w:id="273"/>
      <w:r>
        <w:t xml:space="preserve">.</w:t>
      </w:r>
      <w:r/>
    </w:p>
    <w:p>
      <w:pPr>
        <w:pStyle w:val="1338"/>
        <w:spacing w:before="0" w:after="0"/>
      </w:pPr>
      <w:r>
        <w:t xml:space="preserve">В случае проведения преддоговорных переговоров Заказчик оставляет за собой право рассмотреть и принять пе</w:t>
      </w:r>
      <w:r>
        <w:t xml:space="preserve">ред подписанием Договора предложения и дополнительные (не носящие принципиального характера) изменения к Договору. Если Стороны не придут к соглашению об этих изменениях, они будут обязаны подписать Договор на условиях, изложенных в Документации о закупке.</w:t>
      </w:r>
      <w:r/>
    </w:p>
    <w:p>
      <w:pPr>
        <w:pStyle w:val="1338"/>
        <w:spacing w:before="0" w:after="0"/>
      </w:pPr>
      <w:r>
        <w:t xml:space="preserve">Одновременно с подписанием Сторонами Договора или не позднее 3 (трех) рабочих дней после подписания Договора, Сторонами должно быть подписано дополнительное соглашение, форма кото</w:t>
      </w:r>
      <w:r>
        <w:t xml:space="preserve">рого приведена в отдельном файле в формате Microsoft Word (предоставляется отдельным документом в составе Документации о закупке), касающееся вопросов подтверждения Участником информации о цепочке собственников, включая бенефициаров (в том числе конечных):</w:t>
      </w:r>
      <w:bookmarkStart w:id="274" w:name="_MON_1736255517"/>
      <w:r/>
      <w:bookmarkEnd w:id="274"/>
      <w:r/>
      <w:r/>
    </w:p>
    <w:p>
      <w:pPr>
        <w:pStyle w:val="1342"/>
        <w:jc w:val="center"/>
        <w:sectPr>
          <w:headerReference w:type="default" r:id="rId12"/>
          <w:headerReference w:type="first" r:id="rId13"/>
          <w:footerReference w:type="default" r:id="rId27"/>
          <w:footerReference w:type="first" r:id="rId28"/>
          <w:footnotePr>
            <w:numFmt w:val="decimal"/>
          </w:footnotePr>
          <w:endnotePr/>
          <w:type w:val="nextPage"/>
          <w:pgSz w:w="11906" w:h="16838" w:orient="portrait"/>
          <w:pgMar w:top="851" w:right="850" w:bottom="851" w:left="1134" w:header="567" w:footer="567" w:gutter="0"/>
          <w:cols w:num="1" w:sep="0" w:space="1701" w:equalWidth="1"/>
          <w:docGrid w:linePitch="360"/>
        </w:sectPr>
      </w:pPr>
      <w:r>
        <w:t xml:space="preserve">  </w:t>
      </w:r>
      <w:r>
        <mc:AlternateContent>
          <mc:Choice Requires="wpg">
            <w:drawing>
              <wp:inline xmlns:wp="http://schemas.openxmlformats.org/drawingml/2006/wordprocessingDrawing" distT="0" distB="0" distL="0" distR="0">
                <wp:extent cx="1152525" cy="733425"/>
                <wp:effectExtent l="0" t="0" r="0" b="0"/>
                <wp:docPr id="2" name="Изображение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Изображение1" descr=""/>
                        <pic:cNvPicPr>
                          <a:picLocks noChangeAspect="1"/>
                        </pic:cNvPicPr>
                        <pic:nvPr/>
                      </pic:nvPicPr>
                      <pic:blipFill>
                        <a:blip r:embed="rId44"/>
                        <a:stretch/>
                      </pic:blipFill>
                      <pic:spPr bwMode="auto">
                        <a:xfrm>
                          <a:off x="0" y="0"/>
                          <a:ext cx="1152525" cy="733424"/>
                        </a:xfrm>
                        <a:prstGeom prst="rect">
                          <a:avLst/>
                        </a:prstGeom>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width:90.75pt;height:57.75pt;mso-wrap-distance-left:0.00pt;mso-wrap-distance-top:0.00pt;mso-wrap-distance-right:0.00pt;mso-wrap-distance-bottom:0.00pt;" stroked="false">
                <v:path textboxrect="0,0,0,0"/>
                <v:imagedata r:id="rId44" o:title=""/>
              </v:shape>
            </w:pict>
          </mc:Fallback>
        </mc:AlternateContent>
      </w:r>
      <w:r/>
    </w:p>
    <w:p>
      <w:pPr>
        <w:pStyle w:val="1336"/>
        <w:spacing w:before="0" w:after="0"/>
      </w:pPr>
      <w:r/>
      <w:bookmarkStart w:id="275" w:name="_Toc230928870"/>
      <w:r/>
      <w:bookmarkStart w:id="276" w:name="Прил03_ТребованияУчастникам"/>
      <w:r/>
      <w:bookmarkStart w:id="277" w:name="_Ref125370013"/>
      <w:r/>
      <w:bookmarkStart w:id="278" w:name="_Ref125365476"/>
      <w:r/>
      <w:bookmarkStart w:id="279" w:name="_Ref125361908"/>
      <w:r/>
      <w:bookmarkStart w:id="280" w:name="_Ref125361494"/>
      <w:r>
        <w:t xml:space="preserve">Приложение № 3 – Требования к Участникам</w:t>
      </w:r>
      <w:bookmarkEnd w:id="275"/>
      <w:r/>
      <w:bookmarkEnd w:id="276"/>
      <w:r/>
      <w:bookmarkEnd w:id="277"/>
      <w:r/>
      <w:bookmarkEnd w:id="278"/>
      <w:r/>
      <w:bookmarkEnd w:id="279"/>
      <w:r/>
      <w:bookmarkEnd w:id="280"/>
      <w:r/>
      <w:r/>
    </w:p>
    <w:p>
      <w:pPr>
        <w:pStyle w:val="1337"/>
        <w:spacing w:before="360" w:after="0"/>
      </w:pPr>
      <w:r/>
      <w:bookmarkStart w:id="281" w:name="_Toc230928871"/>
      <w:r>
        <w:t xml:space="preserve">Пояснения к требованиям к Участникам</w:t>
      </w:r>
      <w:bookmarkEnd w:id="281"/>
      <w:r/>
      <w:r/>
    </w:p>
    <w:p>
      <w:pPr>
        <w:pStyle w:val="1338"/>
        <w:spacing w:before="120" w:after="0"/>
      </w:pPr>
      <w:r/>
      <w:bookmarkStart w:id="282" w:name="_Hlk125628168"/>
      <w:r>
        <w:t xml:space="preserve">Чтобы претендовать на победу </w:t>
      </w:r>
      <w:r>
        <w:t xml:space="preserve">в закупке и получение права заключить Договор с Заказчиком, Участник самостоятельно или Коллективный участник в целом должен отвечать нижеуказанным требованиям и включить в состав заявки документы, подтверждающие его соответствие установленным требованиям.</w:t>
      </w:r>
      <w:bookmarkEnd w:id="282"/>
      <w:r/>
      <w:r/>
    </w:p>
    <w:p>
      <w:pPr>
        <w:pStyle w:val="1337"/>
        <w:spacing w:before="360" w:after="120"/>
      </w:pPr>
      <w:r/>
      <w:bookmarkStart w:id="283" w:name="_Toc230928872"/>
      <w:r/>
      <w:bookmarkStart w:id="284" w:name="_Ref125370071"/>
      <w:r/>
      <w:bookmarkStart w:id="285" w:name="_Ref125370064"/>
      <w:r/>
      <w:bookmarkStart w:id="286" w:name="_Ref125370058"/>
      <w:r/>
      <w:bookmarkStart w:id="287" w:name="_Ref125369088"/>
      <w:r/>
      <w:bookmarkStart w:id="288" w:name="_Ref125368895"/>
      <w:r/>
      <w:bookmarkStart w:id="289" w:name="_Ref125368812"/>
      <w:r/>
      <w:bookmarkStart w:id="290" w:name="_Ref125366879"/>
      <w:r/>
      <w:bookmarkStart w:id="291" w:name="_Ref125361926"/>
      <w:r/>
      <w:bookmarkStart w:id="292" w:name="_Ref125361846"/>
      <w:r/>
      <w:bookmarkStart w:id="293" w:name="_Ref125361832"/>
      <w:r/>
      <w:bookmarkStart w:id="294" w:name="_Ref125361617"/>
      <w:r/>
      <w:bookmarkStart w:id="295" w:name="_Ref125361590"/>
      <w:r/>
      <w:bookmarkStart w:id="296" w:name="_Ref125361435"/>
      <w:r>
        <w:t xml:space="preserve">Обязательные требования</w:t>
      </w:r>
      <w:bookmarkEnd w:id="283"/>
      <w:r/>
      <w:bookmarkEnd w:id="284"/>
      <w:r/>
      <w:bookmarkEnd w:id="285"/>
      <w:r/>
      <w:bookmarkEnd w:id="286"/>
      <w:r/>
      <w:bookmarkEnd w:id="287"/>
      <w:r/>
      <w:bookmarkEnd w:id="288"/>
      <w:r/>
      <w:bookmarkEnd w:id="289"/>
      <w:r/>
      <w:bookmarkEnd w:id="290"/>
      <w:r/>
      <w:bookmarkEnd w:id="291"/>
      <w:r/>
      <w:bookmarkEnd w:id="292"/>
      <w:r/>
      <w:bookmarkEnd w:id="293"/>
      <w:r/>
      <w:bookmarkEnd w:id="294"/>
      <w:r/>
      <w:bookmarkEnd w:id="295"/>
      <w:r/>
      <w:bookmarkEnd w:id="296"/>
      <w:r/>
      <w:r/>
    </w:p>
    <w:tbl>
      <w:tblPr>
        <w:tblStyle w:val="1505"/>
        <w:tblW w:w="15126" w:type="dxa"/>
        <w:tblInd w:w="0" w:type="dxa"/>
        <w:tblLayout w:type="fixed"/>
        <w:tblCellMar>
          <w:left w:w="57" w:type="dxa"/>
          <w:top w:w="0" w:type="dxa"/>
          <w:right w:w="57" w:type="dxa"/>
          <w:bottom w:w="0" w:type="dxa"/>
        </w:tblCellMar>
        <w:tblLook w:val="04A0" w:firstRow="1" w:lastRow="0" w:firstColumn="1" w:lastColumn="0" w:noHBand="0" w:noVBand="1"/>
      </w:tblPr>
      <w:tblGrid>
        <w:gridCol w:w="1128"/>
        <w:gridCol w:w="5671"/>
        <w:gridCol w:w="8327"/>
      </w:tblGrid>
      <w:tr>
        <w:tblPrEx/>
        <w:trPr/>
        <w:tc>
          <w:tcPr>
            <w:tcW w:w="1128" w:type="dxa"/>
            <w:textDirection w:val="lrTb"/>
            <w:noWrap w:val="false"/>
          </w:tcPr>
          <w:p>
            <w:pPr>
              <w:pStyle w:val="1342"/>
              <w:jc w:val="center"/>
              <w:keepLines w:val="0"/>
              <w:keepNext w:val="0"/>
              <w:spacing w:before="60" w:after="60" w:line="240" w:lineRule="auto"/>
              <w:widowControl w:val="off"/>
              <w:rPr>
                <w:rFonts w:ascii="Times New Roman" w:hAnsi="Times New Roman" w:eastAsia="Calibri" w:cs="Arial"/>
                <w:b/>
                <w:sz w:val="26"/>
                <w:szCs w:val="22"/>
                <w:lang w:val="ru-RU" w:eastAsia="en-US" w:bidi="ar-SA"/>
              </w:rPr>
            </w:pPr>
            <w:r>
              <w:rPr>
                <w:rFonts w:eastAsia="Calibri" w:cs="Arial"/>
                <w:b/>
                <w:sz w:val="26"/>
                <w:szCs w:val="22"/>
                <w:lang w:val="ru-RU" w:eastAsia="en-US" w:bidi="ar-SA"/>
              </w:rPr>
              <w:t xml:space="preserve">№</w:t>
            </w:r>
            <w:r>
              <w:rPr>
                <w:rFonts w:eastAsia="Calibri" w:cs="Arial"/>
                <w:b/>
                <w:sz w:val="26"/>
                <w:szCs w:val="22"/>
                <w:lang w:val="ru-RU" w:eastAsia="en-US" w:bidi="ar-SA"/>
              </w:rPr>
              <w:br/>
              <w:t xml:space="preserve">п/п</w:t>
            </w:r>
            <w:r>
              <w:rPr>
                <w:rFonts w:ascii="Times New Roman" w:hAnsi="Times New Roman" w:eastAsia="Calibri" w:cs="Arial"/>
                <w:b/>
                <w:sz w:val="26"/>
                <w:szCs w:val="22"/>
                <w:lang w:val="ru-RU" w:eastAsia="en-US" w:bidi="ar-SA"/>
              </w:rPr>
            </w:r>
            <w:r>
              <w:rPr>
                <w:rFonts w:ascii="Times New Roman" w:hAnsi="Times New Roman" w:eastAsia="Calibri" w:cs="Arial"/>
                <w:b/>
                <w:sz w:val="26"/>
                <w:szCs w:val="22"/>
                <w:lang w:val="ru-RU" w:eastAsia="en-US" w:bidi="ar-SA"/>
              </w:rPr>
            </w:r>
          </w:p>
        </w:tc>
        <w:tc>
          <w:tcPr>
            <w:tcW w:w="5671" w:type="dxa"/>
            <w:textDirection w:val="lrTb"/>
            <w:noWrap w:val="false"/>
          </w:tcPr>
          <w:p>
            <w:pPr>
              <w:pStyle w:val="1342"/>
              <w:jc w:val="center"/>
              <w:keepLines w:val="0"/>
              <w:keepNext w:val="0"/>
              <w:spacing w:before="60" w:after="60" w:line="240" w:lineRule="auto"/>
              <w:widowControl w:val="off"/>
              <w:rPr>
                <w:rFonts w:ascii="Times New Roman" w:hAnsi="Times New Roman" w:eastAsia="Calibri" w:cs="Arial"/>
                <w:b/>
                <w:sz w:val="26"/>
                <w:szCs w:val="22"/>
                <w:lang w:val="ru-RU" w:eastAsia="en-US" w:bidi="ar-SA"/>
              </w:rPr>
            </w:pPr>
            <w:r>
              <w:rPr>
                <w:rFonts w:eastAsia="Calibri" w:cs="Arial"/>
                <w:b/>
                <w:sz w:val="26"/>
                <w:szCs w:val="22"/>
                <w:lang w:val="ru-RU" w:eastAsia="en-US" w:bidi="ar-SA"/>
              </w:rPr>
              <w:t xml:space="preserve">Требования к Участнику</w:t>
            </w:r>
            <w:r>
              <w:rPr>
                <w:rFonts w:ascii="Times New Roman" w:hAnsi="Times New Roman" w:eastAsia="Calibri" w:cs="Arial"/>
                <w:b/>
                <w:sz w:val="26"/>
                <w:szCs w:val="22"/>
                <w:lang w:val="ru-RU" w:eastAsia="en-US" w:bidi="ar-SA"/>
              </w:rPr>
            </w:r>
            <w:r>
              <w:rPr>
                <w:rFonts w:ascii="Times New Roman" w:hAnsi="Times New Roman" w:eastAsia="Calibri" w:cs="Arial"/>
                <w:b/>
                <w:sz w:val="26"/>
                <w:szCs w:val="22"/>
                <w:lang w:val="ru-RU" w:eastAsia="en-US" w:bidi="ar-SA"/>
              </w:rPr>
            </w:r>
          </w:p>
        </w:tc>
        <w:tc>
          <w:tcPr>
            <w:tcW w:w="8327" w:type="dxa"/>
            <w:textDirection w:val="lrTb"/>
            <w:noWrap w:val="false"/>
          </w:tcPr>
          <w:p>
            <w:pPr>
              <w:pStyle w:val="1342"/>
              <w:jc w:val="center"/>
              <w:keepLines w:val="0"/>
              <w:keepNext w:val="0"/>
              <w:spacing w:before="60" w:after="60" w:line="240" w:lineRule="auto"/>
              <w:widowControl w:val="off"/>
              <w:rPr>
                <w:rFonts w:ascii="Times New Roman" w:hAnsi="Times New Roman" w:eastAsia="Calibri" w:cs="Arial"/>
                <w:b/>
                <w:sz w:val="26"/>
                <w:szCs w:val="22"/>
                <w:lang w:val="ru-RU" w:eastAsia="en-US" w:bidi="ar-SA"/>
              </w:rPr>
            </w:pPr>
            <w:r>
              <w:rPr>
                <w:rFonts w:eastAsia="Calibri" w:cs="Arial"/>
                <w:b/>
                <w:sz w:val="26"/>
                <w:szCs w:val="22"/>
                <w:lang w:val="ru-RU" w:eastAsia="en-US" w:bidi="ar-SA"/>
              </w:rPr>
              <w:t xml:space="preserve">Требования к документам,</w:t>
              <w:br/>
              <w:t xml:space="preserve">подтверждающим соответствие Участника установленным требованиям</w:t>
            </w:r>
            <w:r>
              <w:rPr>
                <w:rFonts w:ascii="Times New Roman" w:hAnsi="Times New Roman" w:eastAsia="Calibri" w:cs="Arial"/>
                <w:b/>
                <w:sz w:val="26"/>
                <w:szCs w:val="22"/>
                <w:lang w:val="ru-RU" w:eastAsia="en-US" w:bidi="ar-SA"/>
              </w:rPr>
            </w:r>
            <w:r>
              <w:rPr>
                <w:rFonts w:ascii="Times New Roman" w:hAnsi="Times New Roman" w:eastAsia="Calibri" w:cs="Arial"/>
                <w:b/>
                <w:sz w:val="26"/>
                <w:szCs w:val="22"/>
                <w:lang w:val="ru-RU" w:eastAsia="en-US" w:bidi="ar-SA"/>
              </w:rPr>
            </w:r>
          </w:p>
        </w:tc>
      </w:tr>
      <w:tr>
        <w:tblPrEx/>
        <w:trPr/>
        <w:tc>
          <w:tcPr>
            <w:tcW w:w="1128" w:type="dxa"/>
            <w:textDirection w:val="lrTb"/>
            <w:noWrap w:val="false"/>
          </w:tcPr>
          <w:p>
            <w:pPr>
              <w:pStyle w:val="1342"/>
              <w:numPr>
                <w:ilvl w:val="0"/>
                <w:numId w:val="2"/>
              </w:numPr>
              <w:ind w:left="284" w:firstLine="0"/>
              <w:jc w:val="center"/>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r>
            <w:bookmarkStart w:id="298" w:name="_Ref125552433"/>
            <w:r/>
            <w:bookmarkEnd w:id="298"/>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5671" w:type="dxa"/>
            <w:textDirection w:val="lrTb"/>
            <w:noWrap w:val="false"/>
          </w:tcPr>
          <w:p>
            <w:pPr>
              <w:pStyle w:val="1342"/>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Участник должен о</w:t>
            </w:r>
            <w:r>
              <w:rPr>
                <w:rFonts w:eastAsia="Calibri" w:cs="Arial"/>
                <w:sz w:val="26"/>
                <w:szCs w:val="22"/>
                <w:lang w:val="ru-RU" w:eastAsia="en-US" w:bidi="ar-SA"/>
              </w:rPr>
              <w:t xml:space="preserve">бладать гражданской правоспособностью в полном объеме для заключения и исполнения Договора, а также должен обладать статусом «аккредитован» в соответствии с Положением об аккредитации, либо являться лицом, указанным в пункте 3.11 Положения об аккредитации:</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8327" w:type="dxa"/>
            <w:textDirection w:val="lrTb"/>
            <w:noWrap w:val="false"/>
          </w:tcPr>
          <w:p>
            <w:pPr>
              <w:pStyle w:val="1342"/>
              <w:numPr>
                <w:ilvl w:val="0"/>
                <w:numId w:val="8"/>
              </w:numPr>
              <w:ind w:left="284" w:hanging="284"/>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В отношении гражданской правоспособности:</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p>
            <w:pPr>
              <w:pStyle w:val="1342"/>
              <w:numPr>
                <w:ilvl w:val="0"/>
                <w:numId w:val="15"/>
              </w:numPr>
              <w:ind w:left="568" w:hanging="284"/>
              <w:spacing w:before="60" w:after="60" w:line="240" w:lineRule="auto"/>
              <w:widowControl w:val="off"/>
              <w:rPr>
                <w:rFonts w:ascii="Times New Roman" w:hAnsi="Times New Roman" w:eastAsia="Calibri" w:cs="Arial"/>
                <w:sz w:val="26"/>
                <w:szCs w:val="22"/>
                <w:lang w:eastAsia="en-US" w:bidi="ar-SA"/>
              </w:rPr>
            </w:pPr>
            <w:r>
              <w:rPr>
                <w:rFonts w:eastAsia="Calibri" w:cs="Arial"/>
                <w:sz w:val="26"/>
                <w:szCs w:val="22"/>
                <w:lang w:val="ru-RU" w:eastAsia="en-US" w:bidi="ar-SA"/>
              </w:rPr>
              <w:t xml:space="preserve">если заявка подписывается лицом, действующим на основании доверенности, предоставляется электронный образ (файл в формате Portable Document Format (*.</w:t>
            </w:r>
            <w:r>
              <w:rPr>
                <w:rFonts w:eastAsia="Calibri" w:cs="Arial"/>
                <w:sz w:val="26"/>
                <w:szCs w:val="22"/>
                <w:lang w:val="en-US" w:eastAsia="en-US" w:bidi="ar-SA"/>
              </w:rPr>
              <w:t xml:space="preserve">pdf</w:t>
            </w:r>
            <w:r>
              <w:rPr>
                <w:rFonts w:eastAsia="Calibri" w:cs="Arial"/>
                <w:sz w:val="26"/>
                <w:szCs w:val="22"/>
                <w:lang w:val="ru-RU" w:eastAsia="en-US" w:bidi="ar-SA"/>
              </w:rPr>
              <w:t xml:space="preserve">)) оригинала соответствующей доверенности либо ее нотариально заверенной копии (с указанием правомочий на подписание заявки);</w:t>
            </w:r>
            <w:r>
              <w:rPr>
                <w:rFonts w:ascii="Times New Roman" w:hAnsi="Times New Roman" w:eastAsia="Calibri" w:cs="Arial"/>
                <w:sz w:val="26"/>
                <w:szCs w:val="22"/>
                <w:lang w:eastAsia="en-US" w:bidi="ar-SA"/>
              </w:rPr>
            </w:r>
            <w:r>
              <w:rPr>
                <w:rFonts w:ascii="Times New Roman" w:hAnsi="Times New Roman" w:eastAsia="Calibri" w:cs="Arial"/>
                <w:sz w:val="26"/>
                <w:szCs w:val="22"/>
                <w:lang w:eastAsia="en-US" w:bidi="ar-SA"/>
              </w:rPr>
            </w:r>
          </w:p>
          <w:p>
            <w:pPr>
              <w:pStyle w:val="1342"/>
              <w:numPr>
                <w:ilvl w:val="0"/>
                <w:numId w:val="8"/>
              </w:numPr>
              <w:ind w:left="284" w:hanging="284"/>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В отношении аккредитации:</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p>
            <w:pPr>
              <w:pStyle w:val="1342"/>
              <w:numPr>
                <w:ilvl w:val="0"/>
                <w:numId w:val="15"/>
              </w:numPr>
              <w:ind w:left="568" w:hanging="284"/>
              <w:spacing w:before="60" w:after="0" w:line="240" w:lineRule="auto"/>
              <w:widowControl w:val="off"/>
            </w:pPr>
            <w:r>
              <w:rPr>
                <w:rFonts w:eastAsia="Calibri" w:cs="Arial"/>
                <w:sz w:val="26"/>
                <w:szCs w:val="22"/>
                <w:lang w:val="ru-RU" w:eastAsia="en-US" w:bidi="ar-SA"/>
              </w:rPr>
              <w:t xml:space="preserve">при наличии у Участника на момент подачи заявки статуса «аккредитован» (по результатам ранее пройденной процедуры аккредитации) / статуса </w:t>
            </w:r>
            <w:r>
              <w:rPr>
                <w:rFonts w:eastAsia="Calibri" w:cs="Arial"/>
                <w:sz w:val="26"/>
                <w:szCs w:val="22"/>
                <w:lang w:val="ru-RU" w:eastAsia="en-US" w:bidi="ar-SA"/>
              </w:rPr>
              <w:t xml:space="preserve">«аккредитация не требуется» (в соответствии с ранее направленными сведениями для включения записи в Реестр аккредитации), и при наличии (с момента подачи Заявки на аккредитацию) изменений, оказывающих влияние на соответствие его критериям аккредитации (на </w:t>
            </w:r>
            <w:r>
              <w:rPr>
                <w:rFonts w:eastAsia="Calibri" w:cs="Arial"/>
                <w:sz w:val="26"/>
                <w:szCs w:val="22"/>
                <w:lang w:val="ru-RU" w:eastAsia="en-US" w:bidi="ar-SA"/>
              </w:rPr>
              <w:t xml:space="preserve">текущий статус), а 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Заявке на аккредитацию – декларация в составе Письма о подаче оферты (форма 2) (</w:t>
            </w:r>
            <w:hyperlink w:tooltip="#Прил04_ФормыЗаявки" w:anchor="Прил04_ФормыЗаявки" w:history="1">
              <w:r>
                <w:rPr>
                  <w:rStyle w:val="1311"/>
                  <w:rFonts w:eastAsia="Calibri" w:cs="Arial"/>
                  <w:sz w:val="26"/>
                  <w:szCs w:val="22"/>
                  <w:lang w:val="ru-RU" w:eastAsia="en-US" w:bidi="ar-SA"/>
                </w:rPr>
                <w:t xml:space="preserve">Приложение № 4</w:t>
              </w:r>
            </w:hyperlink>
            <w:r>
              <w:rPr>
                <w:rFonts w:eastAsia="Calibri" w:cs="Arial"/>
                <w:sz w:val="26"/>
                <w:szCs w:val="22"/>
                <w:lang w:val="ru-RU" w:eastAsia="en-US" w:bidi="ar-SA"/>
              </w:rPr>
              <w:t xml:space="preserve">) и обновленная Заявка на аккредитацию по установленной в Документации о закупке форме (</w:t>
            </w:r>
            <w:hyperlink w:tooltip="#Прил10_ЗаявкаНаАккредитацию" w:anchor="Прил10_ЗаявкаНаАккредитацию" w:history="1">
              <w:r>
                <w:rPr>
                  <w:rStyle w:val="1311"/>
                  <w:rFonts w:eastAsia="Calibri" w:cs="Arial"/>
                  <w:sz w:val="26"/>
                  <w:szCs w:val="22"/>
                  <w:lang w:val="ru-RU" w:eastAsia="en-US" w:bidi="ar-SA"/>
                </w:rPr>
                <w:t xml:space="preserve">Приложение № 10</w:t>
              </w:r>
            </w:hyperlink>
            <w:r>
              <w:rPr>
                <w:rFonts w:eastAsia="Calibri" w:cs="Arial"/>
                <w:sz w:val="26"/>
                <w:szCs w:val="22"/>
                <w:lang w:val="ru-RU" w:eastAsia="en-US" w:bidi="ar-SA"/>
              </w:rPr>
              <w:t xml:space="preserve">);</w:t>
            </w:r>
            <w:r/>
          </w:p>
          <w:p>
            <w:pPr>
              <w:pStyle w:val="1342"/>
              <w:numPr>
                <w:ilvl w:val="0"/>
                <w:numId w:val="15"/>
              </w:numPr>
              <w:ind w:left="568" w:hanging="284"/>
              <w:spacing w:before="0" w:after="0" w:line="240" w:lineRule="auto"/>
              <w:widowControl w:val="off"/>
            </w:pPr>
            <w:r>
              <w:rPr>
                <w:rFonts w:eastAsia="Calibri" w:cs="Arial"/>
                <w:sz w:val="26"/>
                <w:szCs w:val="22"/>
                <w:lang w:val="ru-RU" w:eastAsia="en-US" w:bidi="ar-SA"/>
              </w:rPr>
              <w:t xml:space="preserve">при отсутствии у Участника на момент подачи заявки статуса «аккредитован» (при условии, что Уч</w:t>
            </w:r>
            <w:r>
              <w:rPr>
                <w:rFonts w:eastAsia="Calibri" w:cs="Arial"/>
                <w:sz w:val="26"/>
                <w:szCs w:val="22"/>
                <w:lang w:val="ru-RU" w:eastAsia="en-US" w:bidi="ar-SA"/>
              </w:rPr>
              <w:t xml:space="preserve">астник ранее направил Заявку на аккредитацию, но на момент подачи заявки на участие в текущей закупке результаты проверки еще не известны (отсутствует соответствующая запись в Реестре аккредитации)) – декларация в составе Письма о подаче оферты (форма 2) (</w:t>
            </w:r>
            <w:hyperlink w:tooltip="#Прил04_ФормыЗаявки" w:anchor="Прил04_ФормыЗаявки" w:history="1">
              <w:r>
                <w:rPr>
                  <w:rStyle w:val="1311"/>
                  <w:rFonts w:eastAsia="Calibri" w:cs="Arial"/>
                  <w:sz w:val="26"/>
                  <w:szCs w:val="22"/>
                  <w:lang w:val="ru-RU" w:eastAsia="en-US" w:bidi="ar-SA"/>
                </w:rPr>
                <w:t xml:space="preserve">Приложение № 4</w:t>
              </w:r>
            </w:hyperlink>
            <w:r>
              <w:rPr>
                <w:rFonts w:eastAsia="Calibri" w:cs="Arial"/>
                <w:sz w:val="26"/>
                <w:szCs w:val="22"/>
                <w:lang w:val="ru-RU" w:eastAsia="en-US" w:bidi="ar-SA"/>
              </w:rPr>
              <w:t xml:space="preserve">); предоставление Заявки на аккредитацию не требуется;</w:t>
            </w:r>
            <w:r/>
          </w:p>
          <w:p>
            <w:pPr>
              <w:pStyle w:val="1342"/>
              <w:numPr>
                <w:ilvl w:val="0"/>
                <w:numId w:val="15"/>
              </w:numPr>
              <w:ind w:left="568" w:hanging="284"/>
              <w:spacing w:before="0" w:after="60" w:line="240" w:lineRule="auto"/>
              <w:widowControl w:val="off"/>
            </w:pPr>
            <w:r>
              <w:rPr>
                <w:rFonts w:eastAsia="Calibri" w:cs="Arial"/>
                <w:sz w:val="26"/>
                <w:szCs w:val="22"/>
                <w:lang w:val="ru-RU" w:eastAsia="en-US" w:bidi="ar-SA"/>
              </w:rPr>
              <w:t xml:space="preserve">при отсутствии у Участника на момент подачи заявки статуса «аккредитован» (не проходил ранее процедуру аккредитации или наличия у Участника статуса «не аккредитован» (по результатам ранее пройденной процедуры аккредитации), а также для </w:t>
            </w:r>
            <w:r>
              <w:rPr>
                <w:rFonts w:eastAsia="Calibri" w:cs="Arial"/>
                <w:sz w:val="26"/>
                <w:szCs w:val="22"/>
                <w:lang w:val="ru-RU" w:eastAsia="en-US" w:bidi="ar-SA"/>
              </w:rPr>
              <w:t xml:space="preserve">лиц, указанных в пункте 3.11 Положения об аккредитации (аккредитация не требуется), но которые ранее не направляли соответствующие сведения для включения записи в Реестр аккредитации –Заявка на аккредитацию по установленной в Документации о закупке форме (</w:t>
            </w:r>
            <w:hyperlink w:tooltip="#Прил10_ЗаявкаНаАккредитацию" w:anchor="Прил10_ЗаявкаНаАккредитацию" w:history="1">
              <w:r>
                <w:rPr>
                  <w:rStyle w:val="1311"/>
                  <w:rFonts w:eastAsia="Calibri" w:cs="Arial"/>
                  <w:sz w:val="26"/>
                  <w:szCs w:val="22"/>
                  <w:lang w:val="ru-RU" w:eastAsia="en-US" w:bidi="ar-SA"/>
                </w:rPr>
                <w:t xml:space="preserve">Приложение № 10</w:t>
              </w:r>
            </w:hyperlink>
            <w:r>
              <w:rPr>
                <w:rFonts w:eastAsia="Calibri" w:cs="Arial"/>
                <w:sz w:val="26"/>
                <w:szCs w:val="22"/>
                <w:lang w:val="ru-RU" w:eastAsia="en-US" w:bidi="ar-SA"/>
              </w:rPr>
              <w:t xml:space="preserve">).</w:t>
            </w:r>
            <w:r/>
          </w:p>
          <w:p>
            <w:pPr>
              <w:pStyle w:val="1342"/>
              <w:ind w:left="284" w:firstLine="0"/>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В случае заинтересованности Участника в дополн</w:t>
            </w:r>
            <w:r>
              <w:rPr>
                <w:rFonts w:eastAsia="Calibri" w:cs="Arial"/>
                <w:sz w:val="26"/>
                <w:szCs w:val="22"/>
                <w:lang w:val="ru-RU" w:eastAsia="en-US" w:bidi="ar-SA"/>
              </w:rPr>
              <w:t xml:space="preserve">ительной оценке его финансового состояния, при условии отсутствия опубликованной в государственном информационном ресурсе бухгалтерской (финансовой) отчетности организаций (https://bo.nalog.ru), к Заявке на аккредитацию также прилагается электронная копия </w:t>
            </w:r>
            <w:r>
              <w:rPr>
                <w:rFonts w:eastAsia="Calibri" w:cs="Arial"/>
                <w:sz w:val="26"/>
                <w:szCs w:val="22"/>
                <w:lang w:val="ru-RU" w:eastAsia="en-US" w:bidi="ar-SA"/>
              </w:rPr>
              <w:t xml:space="preserve">бухгалтерского баланса (ОКУД 0710001) и отчета о финансовых результатах (ОКУД 0710002) за последний завершенный финансовый год, с отметкой налогового органа о приеме или с приложением квитанции о приеме и (или) извещения о вводе сведений налоговым органом.</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p>
            <w:pPr>
              <w:pStyle w:val="1342"/>
              <w:ind w:left="284" w:firstLine="0"/>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Если Участник в соответствии с законодательством формирует отчетность по формам</w:t>
            </w:r>
            <w:r>
              <w:rPr>
                <w:rFonts w:eastAsia="Calibri" w:cs="Arial"/>
                <w:sz w:val="26"/>
                <w:szCs w:val="22"/>
                <w:lang w:val="ru-RU" w:eastAsia="en-US" w:bidi="ar-SA"/>
              </w:rPr>
              <w:t xml:space="preserve"> ОКУД 0503730, 0503721 (и (или) освобожден от предоставления дополнительного экземпляра отчетности для размещения на официальном сайте ФНС России) – оценка его финансового состояния производится на основании представленных вместе с Заявкой на аккредитацию:</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p>
            <w:pPr>
              <w:pStyle w:val="1342"/>
              <w:ind w:left="284" w:firstLine="0"/>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w:t>
            </w:r>
            <w:r>
              <w:rPr>
                <w:rFonts w:eastAsia="Calibri" w:cs="Arial"/>
                <w:sz w:val="26"/>
                <w:szCs w:val="22"/>
                <w:lang w:val="ru-RU" w:eastAsia="en-US" w:bidi="ar-SA"/>
              </w:rPr>
              <w:tab/>
              <w:t xml:space="preserve">электронной копии бухг</w:t>
            </w:r>
            <w:r>
              <w:rPr>
                <w:rFonts w:eastAsia="Calibri" w:cs="Arial"/>
                <w:sz w:val="26"/>
                <w:szCs w:val="22"/>
                <w:lang w:val="ru-RU" w:eastAsia="en-US" w:bidi="ar-SA"/>
              </w:rPr>
              <w:t xml:space="preserve">алтерской (финансовой) отчетности по формам ОКУД 0503730, 0503721 за последний завершенный и предшествующий ему финансовый год, с отметкой налогового органа о приеме или с приложением квитанции о приеме и (или) извещения о вводе сведений налоговым органом;</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p>
            <w:pPr>
              <w:pStyle w:val="1342"/>
              <w:ind w:left="284" w:firstLine="0"/>
              <w:spacing w:before="60" w:after="60" w:line="240" w:lineRule="auto"/>
              <w:widowControl w:val="off"/>
            </w:pPr>
            <w:r>
              <w:rPr>
                <w:rFonts w:eastAsia="Calibri" w:cs="Arial"/>
                <w:sz w:val="26"/>
                <w:szCs w:val="22"/>
                <w:lang w:val="ru-RU" w:eastAsia="en-US" w:bidi="ar-SA"/>
              </w:rPr>
              <w:t xml:space="preserve">−</w:t>
            </w:r>
            <w:r>
              <w:rPr>
                <w:rFonts w:eastAsia="Calibri" w:cs="Arial"/>
                <w:sz w:val="26"/>
                <w:szCs w:val="22"/>
                <w:lang w:val="ru-RU" w:eastAsia="en-US" w:bidi="ar-SA"/>
              </w:rPr>
              <w:tab/>
              <w:t xml:space="preserve">дополнительных сведений о размере всех требуемых показателей согласно данным бухгалтерской (финансовой) отчетности (по форме, представленной в </w:t>
            </w:r>
            <w:hyperlink w:tooltip="#Прил11_Форма_данных_бухотчетность" w:anchor="Прил11_Форма_данных_бухотчетность" w:history="1">
              <w:r>
                <w:rPr>
                  <w:rStyle w:val="1308"/>
                  <w:rFonts w:eastAsia="Calibri" w:cs="Arial"/>
                  <w:sz w:val="26"/>
                  <w:szCs w:val="22"/>
                  <w:lang w:val="ru-RU" w:eastAsia="en-US" w:bidi="ar-SA"/>
                </w:rPr>
                <w:t xml:space="preserve">Приложении № 11</w:t>
              </w:r>
            </w:hyperlink>
            <w:r>
              <w:rPr>
                <w:rFonts w:eastAsia="Calibri" w:cs="Arial"/>
                <w:sz w:val="26"/>
                <w:szCs w:val="22"/>
                <w:lang w:val="ru-RU" w:eastAsia="en-US" w:bidi="ar-SA"/>
              </w:rPr>
              <w:t xml:space="preserve">).</w:t>
            </w:r>
            <w:r/>
          </w:p>
          <w:p>
            <w:pPr>
              <w:pStyle w:val="1342"/>
              <w:ind w:left="284" w:firstLine="0"/>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Указанные документы не являются обязательными к подаче в рамках процедуры аккредитации и предоставляются по желанию Участника.</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r>
      <w:tr>
        <w:tblPrEx/>
        <w:trPr/>
        <w:tc>
          <w:tcPr>
            <w:tcW w:w="1128" w:type="dxa"/>
            <w:textDirection w:val="lrTb"/>
            <w:noWrap w:val="false"/>
          </w:tcPr>
          <w:p>
            <w:pPr>
              <w:pStyle w:val="1342"/>
              <w:numPr>
                <w:ilvl w:val="0"/>
                <w:numId w:val="2"/>
              </w:numPr>
              <w:ind w:left="284" w:firstLine="0"/>
              <w:jc w:val="center"/>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r>
            <w:bookmarkStart w:id="300" w:name="_Ref139028406"/>
            <w:r/>
            <w:bookmarkEnd w:id="300"/>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5671" w:type="dxa"/>
            <w:textDirection w:val="lrTb"/>
            <w:noWrap w:val="false"/>
          </w:tcPr>
          <w:p>
            <w:pPr>
              <w:pStyle w:val="1342"/>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Сведения об Участнике должны отсутствовать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 851</w:t>
            </w:r>
            <w:r>
              <w:rPr>
                <w:rStyle w:val="1307"/>
                <w:rFonts w:eastAsia="Calibri" w:cs="Arial"/>
                <w:sz w:val="26"/>
                <w:szCs w:val="22"/>
                <w:lang w:val="ru-RU" w:eastAsia="en-US" w:bidi="ar-SA"/>
              </w:rPr>
              <w:footnoteReference w:id="14"/>
            </w:r>
            <w:r>
              <w:rPr>
                <w:rFonts w:eastAsia="Calibri" w:cs="Arial"/>
                <w:sz w:val="26"/>
                <w:szCs w:val="22"/>
                <w:lang w:val="ru-RU" w:eastAsia="en-US" w:bidi="ar-SA"/>
              </w:rPr>
              <w:t xml:space="preserve">, а также Участник не должен являться подконтрольной организацией данных юридических лиц</w:t>
            </w:r>
            <w:r>
              <w:rPr>
                <w:rStyle w:val="1307"/>
                <w:rFonts w:eastAsia="Calibri" w:cs="Arial"/>
                <w:sz w:val="26"/>
                <w:szCs w:val="22"/>
                <w:lang w:val="ru-RU" w:eastAsia="en-US" w:bidi="ar-SA"/>
              </w:rPr>
              <w:footnoteReference w:id="15"/>
            </w:r>
            <w:r>
              <w:rPr>
                <w:rFonts w:eastAsia="Calibri" w:cs="Arial"/>
                <w:sz w:val="26"/>
                <w:szCs w:val="22"/>
                <w:lang w:val="ru-RU" w:eastAsia="en-US" w:bidi="ar-SA"/>
              </w:rPr>
              <w:t xml:space="preserve">:</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8327" w:type="dxa"/>
            <w:textDirection w:val="lrTb"/>
            <w:noWrap w:val="false"/>
          </w:tcPr>
          <w:p>
            <w:pPr>
              <w:pStyle w:val="1342"/>
              <w:spacing w:before="60" w:after="60" w:line="240" w:lineRule="auto"/>
              <w:widowControl w:val="off"/>
            </w:pPr>
            <w:r>
              <w:rPr>
                <w:rFonts w:eastAsia="Calibri" w:cs="Arial"/>
                <w:sz w:val="26"/>
                <w:szCs w:val="22"/>
                <w:lang w:val="ru-RU" w:eastAsia="en-US" w:bidi="ar-SA"/>
              </w:rPr>
              <w:t xml:space="preserve">Декларация о соответствии Участника данному требованию в составе Письма о подаче оферты (форма 2) (</w:t>
            </w:r>
            <w:hyperlink w:tooltip="#Прил04_ФормыЗаявки" w:anchor="Прил04_ФормыЗаявки" w:history="1">
              <w:r>
                <w:rPr>
                  <w:rStyle w:val="1311"/>
                  <w:rFonts w:eastAsia="Calibri" w:cs="Arial"/>
                  <w:sz w:val="26"/>
                  <w:szCs w:val="22"/>
                  <w:lang w:val="ru-RU" w:eastAsia="en-US" w:bidi="ar-SA"/>
                </w:rPr>
                <w:t xml:space="preserve">Приложение № 4</w:t>
              </w:r>
            </w:hyperlink>
            <w:r>
              <w:rPr>
                <w:rFonts w:eastAsia="Calibri" w:cs="Arial"/>
                <w:sz w:val="26"/>
                <w:szCs w:val="22"/>
                <w:lang w:val="ru-RU" w:eastAsia="en-US" w:bidi="ar-SA"/>
              </w:rPr>
              <w:t xml:space="preserve">).</w:t>
            </w:r>
            <w:r/>
          </w:p>
          <w:p>
            <w:pPr>
              <w:pStyle w:val="1342"/>
              <w:spacing w:before="60" w:after="60" w:line="240" w:lineRule="auto"/>
              <w:widowControl w:val="off"/>
              <w:rPr>
                <w:i/>
                <w:iCs/>
              </w:rPr>
            </w:pPr>
            <w:r>
              <w:rPr>
                <w:rFonts w:eastAsia="Calibri" w:cs="Arial"/>
                <w:i/>
                <w:iCs/>
                <w:sz w:val="26"/>
                <w:szCs w:val="22"/>
                <w:lang w:val="ru-RU" w:eastAsia="en-US" w:bidi="ar-SA"/>
              </w:rPr>
              <w:t xml:space="preserve">(В рамках рассмотрения заявок и (или) перед заключением договора Организатор проверяет наличие информации об Участнике в пе</w:t>
            </w:r>
            <w:r>
              <w:rPr>
                <w:rFonts w:eastAsia="Calibri" w:cs="Arial"/>
                <w:i/>
                <w:iCs/>
                <w:sz w:val="26"/>
                <w:szCs w:val="22"/>
                <w:lang w:val="ru-RU" w:eastAsia="en-US" w:bidi="ar-SA"/>
              </w:rPr>
              <w:t xml:space="preserve">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 851 «О мерах по реализации Указа Президента Российской Федерации от 3 мая 2022 г. N 252».)</w:t>
            </w:r>
            <w:r>
              <w:rPr>
                <w:i/>
                <w:iCs/>
              </w:rPr>
            </w:r>
            <w:r>
              <w:rPr>
                <w:i/>
                <w:iCs/>
              </w:rPr>
            </w:r>
          </w:p>
        </w:tc>
      </w:tr>
      <w:tr>
        <w:tblPrEx/>
        <w:trPr/>
        <w:tc>
          <w:tcPr>
            <w:tcW w:w="1128" w:type="dxa"/>
            <w:textDirection w:val="lrTb"/>
            <w:noWrap w:val="false"/>
          </w:tcPr>
          <w:p>
            <w:pPr>
              <w:pStyle w:val="1342"/>
              <w:numPr>
                <w:ilvl w:val="0"/>
                <w:numId w:val="2"/>
              </w:numPr>
              <w:ind w:left="284" w:firstLine="0"/>
              <w:jc w:val="center"/>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r>
            <w:bookmarkStart w:id="302" w:name="_Ref186213321"/>
            <w:r/>
            <w:bookmarkEnd w:id="302"/>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5671" w:type="dxa"/>
            <w:textDirection w:val="lrTb"/>
            <w:noWrap w:val="false"/>
          </w:tcPr>
          <w:p>
            <w:pPr>
              <w:pStyle w:val="1342"/>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Если в подразделе </w:t>
            </w:r>
            <w:r>
              <w:rPr>
                <w:rFonts w:eastAsia="Calibri" w:cs="Arial"/>
                <w:sz w:val="26"/>
                <w:szCs w:val="22"/>
                <w:lang w:val="ru-RU" w:eastAsia="en-US" w:bidi="ar-SA"/>
              </w:rPr>
              <w:fldChar w:fldCharType="begin"/>
            </w:r>
            <w:r>
              <w:rPr>
                <w:rFonts w:eastAsia="Calibri" w:cs="Arial"/>
                <w:sz w:val="26"/>
                <w:szCs w:val="22"/>
                <w:lang w:val="ru-RU" w:eastAsia="en-US" w:bidi="ar-SA"/>
              </w:rPr>
              <w:instrText xml:space="preserve"> REF _Ref125359973 \r \h </w:instrText>
            </w:r>
            <w:r>
              <w:rPr>
                <w:rFonts w:eastAsia="Calibri" w:cs="Arial"/>
                <w:sz w:val="26"/>
                <w:szCs w:val="22"/>
                <w:lang w:val="ru-RU" w:eastAsia="en-US" w:bidi="ar-SA"/>
              </w:rPr>
              <w:fldChar w:fldCharType="separate"/>
            </w:r>
            <w:r>
              <w:rPr>
                <w:rFonts w:eastAsia="Calibri" w:cs="Arial"/>
                <w:sz w:val="26"/>
                <w:szCs w:val="22"/>
                <w:lang w:val="ru-RU" w:eastAsia="en-US" w:bidi="ar-SA"/>
              </w:rPr>
              <w:t xml:space="preserve">1.2</w:t>
            </w:r>
            <w:r>
              <w:rPr>
                <w:rFonts w:eastAsia="Calibri" w:cs="Arial"/>
                <w:sz w:val="26"/>
                <w:szCs w:val="22"/>
                <w:lang w:val="ru-RU" w:eastAsia="en-US" w:bidi="ar-SA"/>
              </w:rPr>
              <w:fldChar w:fldCharType="end"/>
            </w:r>
            <w:r>
              <w:rPr>
                <w:rFonts w:eastAsia="Calibri" w:cs="Arial"/>
                <w:sz w:val="26"/>
                <w:szCs w:val="22"/>
                <w:lang w:val="ru-RU" w:eastAsia="en-US" w:bidi="ar-SA"/>
              </w:rPr>
              <w:t xml:space="preserve"> установлен режим запрета закупки иностранной продукции и предметом закупки является оказание услуг и (или) выполнение работ (в том числе с поставкой товаров при выполнении работ и (или) оказании услуг), то Участник должен быть российским лицом:</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8327" w:type="dxa"/>
            <w:textDirection w:val="lrTb"/>
            <w:noWrap w:val="false"/>
          </w:tcPr>
          <w:p>
            <w:pPr>
              <w:pStyle w:val="1342"/>
              <w:spacing w:before="60" w:after="60" w:line="240" w:lineRule="auto"/>
              <w:widowControl w:val="off"/>
            </w:pPr>
            <w:r>
              <w:rPr>
                <w:rFonts w:eastAsia="Calibri" w:cs="Arial"/>
                <w:sz w:val="26"/>
                <w:szCs w:val="22"/>
                <w:lang w:val="ru-RU" w:eastAsia="en-US" w:bidi="ar-SA"/>
              </w:rPr>
              <w:t xml:space="preserve">Декларация о соответствии Участника данному требованию в составе Письма о подаче оферты (форма 2) (</w:t>
            </w:r>
            <w:hyperlink w:tooltip="#Прил04_ФормыЗаявки" w:anchor="Прил04_ФормыЗаявки" w:history="1">
              <w:r>
                <w:rPr>
                  <w:rStyle w:val="1311"/>
                  <w:rFonts w:eastAsia="Calibri" w:cs="Arial"/>
                  <w:sz w:val="26"/>
                  <w:szCs w:val="22"/>
                  <w:lang w:val="ru-RU" w:eastAsia="en-US" w:bidi="ar-SA"/>
                </w:rPr>
                <w:t xml:space="preserve">Приложение № 4</w:t>
              </w:r>
            </w:hyperlink>
            <w:r>
              <w:rPr>
                <w:rFonts w:eastAsia="Calibri" w:cs="Arial"/>
                <w:sz w:val="26"/>
                <w:szCs w:val="22"/>
                <w:lang w:val="ru-RU" w:eastAsia="en-US" w:bidi="ar-SA"/>
              </w:rPr>
              <w:t xml:space="preserve">), а также указание Участником в составе заявки в Коммерческом предложении (форма 3) (</w:t>
            </w:r>
            <w:hyperlink w:tooltip="#Прил04_ФормыЗаявки" w:anchor="Прил04_ФормыЗаявки" w:history="1">
              <w:r>
                <w:rPr>
                  <w:rStyle w:val="1311"/>
                  <w:rFonts w:eastAsia="Calibri" w:cs="Arial"/>
                  <w:sz w:val="26"/>
                  <w:szCs w:val="22"/>
                  <w:lang w:val="ru-RU" w:eastAsia="en-US" w:bidi="ar-SA"/>
                </w:rPr>
                <w:t xml:space="preserve">Приложение № 4</w:t>
              </w:r>
            </w:hyperlink>
            <w:r>
              <w:rPr>
                <w:rFonts w:eastAsia="Calibri" w:cs="Arial"/>
                <w:sz w:val="26"/>
                <w:szCs w:val="22"/>
                <w:lang w:val="ru-RU" w:eastAsia="en-US" w:bidi="ar-SA"/>
              </w:rPr>
              <w:t xml:space="preserve">) соответствующих сведений.</w:t>
            </w:r>
            <w:r/>
          </w:p>
          <w:p>
            <w:pPr>
              <w:pStyle w:val="1342"/>
              <w:spacing w:before="60" w:after="60" w:line="240" w:lineRule="auto"/>
              <w:widowControl w:val="off"/>
              <w:rPr>
                <w:i/>
                <w:iCs/>
              </w:rPr>
            </w:pPr>
            <w:r>
              <w:rPr>
                <w:rFonts w:eastAsia="Calibri" w:cs="Arial"/>
                <w:i/>
                <w:iCs/>
                <w:sz w:val="26"/>
                <w:szCs w:val="22"/>
                <w:lang w:val="ru-RU" w:eastAsia="en-US" w:bidi="ar-SA"/>
              </w:rPr>
              <w:t xml:space="preserve">(В рамках рассмотрения заявок Организатор проверяет на соответствие данному требованию на основании сведений, размещенных на официальных сервисах ФНС России в сети интернет (в отношении иных стран ЕАЭС – на аналогичных официальных сервисах данных стран).)</w:t>
            </w:r>
            <w:r>
              <w:rPr>
                <w:i/>
                <w:iCs/>
              </w:rPr>
            </w:r>
            <w:r>
              <w:rPr>
                <w:i/>
                <w:iCs/>
              </w:rPr>
            </w:r>
          </w:p>
        </w:tc>
      </w:tr>
      <w:tr>
        <w:tblPrEx/>
        <w:trPr/>
        <w:tc>
          <w:tcPr>
            <w:tcW w:w="1128" w:type="dxa"/>
            <w:textDirection w:val="lrTb"/>
            <w:noWrap w:val="false"/>
          </w:tcPr>
          <w:p>
            <w:pPr>
              <w:pStyle w:val="1342"/>
              <w:numPr>
                <w:ilvl w:val="0"/>
                <w:numId w:val="2"/>
              </w:numPr>
              <w:ind w:left="284" w:firstLine="0"/>
              <w:jc w:val="center"/>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r>
            <w:bookmarkStart w:id="304" w:name="_Ref186213327"/>
            <w:r/>
            <w:bookmarkEnd w:id="304"/>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5671" w:type="dxa"/>
            <w:textDirection w:val="lrTb"/>
            <w:noWrap w:val="false"/>
          </w:tcPr>
          <w:p>
            <w:pPr>
              <w:pStyle w:val="1342"/>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Если в подразделе </w:t>
            </w:r>
            <w:r>
              <w:rPr>
                <w:rFonts w:eastAsia="Calibri" w:cs="Arial"/>
                <w:sz w:val="26"/>
                <w:szCs w:val="22"/>
                <w:lang w:val="ru-RU" w:eastAsia="en-US" w:bidi="ar-SA"/>
              </w:rPr>
              <w:fldChar w:fldCharType="begin"/>
            </w:r>
            <w:r>
              <w:rPr>
                <w:rFonts w:eastAsia="Calibri" w:cs="Arial"/>
                <w:sz w:val="26"/>
                <w:szCs w:val="22"/>
                <w:lang w:val="ru-RU" w:eastAsia="en-US" w:bidi="ar-SA"/>
              </w:rPr>
              <w:instrText xml:space="preserve"> REF _Ref125359973 \r \h </w:instrText>
            </w:r>
            <w:r>
              <w:rPr>
                <w:rFonts w:eastAsia="Calibri" w:cs="Arial"/>
                <w:sz w:val="26"/>
                <w:szCs w:val="22"/>
                <w:lang w:val="ru-RU" w:eastAsia="en-US" w:bidi="ar-SA"/>
              </w:rPr>
              <w:fldChar w:fldCharType="separate"/>
            </w:r>
            <w:r>
              <w:rPr>
                <w:rFonts w:eastAsia="Calibri" w:cs="Arial"/>
                <w:sz w:val="26"/>
                <w:szCs w:val="22"/>
                <w:lang w:val="ru-RU" w:eastAsia="en-US" w:bidi="ar-SA"/>
              </w:rPr>
              <w:t xml:space="preserve">1.2</w:t>
            </w:r>
            <w:r>
              <w:rPr>
                <w:rFonts w:eastAsia="Calibri" w:cs="Arial"/>
                <w:sz w:val="26"/>
                <w:szCs w:val="22"/>
                <w:lang w:val="ru-RU" w:eastAsia="en-US" w:bidi="ar-SA"/>
              </w:rPr>
              <w:fldChar w:fldCharType="end"/>
            </w:r>
            <w:r>
              <w:rPr>
                <w:rFonts w:eastAsia="Calibri" w:cs="Arial"/>
                <w:sz w:val="26"/>
                <w:szCs w:val="22"/>
                <w:lang w:val="ru-RU" w:eastAsia="en-US" w:bidi="ar-SA"/>
              </w:rPr>
              <w:t xml:space="preserve"> установлен режим ограничения закупки иностранной продукции и предметом закупки является оказание услуг и (и</w:t>
            </w:r>
            <w:r>
              <w:rPr>
                <w:rFonts w:eastAsia="Calibri" w:cs="Arial"/>
                <w:sz w:val="26"/>
                <w:szCs w:val="22"/>
                <w:lang w:val="ru-RU" w:eastAsia="en-US" w:bidi="ar-SA"/>
              </w:rPr>
              <w:t xml:space="preserve">ли) выполнение работ (в том числе с поставкой товаров при выполнении работ и (или) оказании услуг), то Участник не должен являться иностранным лицом, при наличии заявки, соответствующей всем требованиям Документации о закупке, поданной от российского лица:</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8327" w:type="dxa"/>
            <w:textDirection w:val="lrTb"/>
            <w:noWrap w:val="false"/>
          </w:tcPr>
          <w:p>
            <w:pPr>
              <w:pStyle w:val="1342"/>
              <w:spacing w:before="60" w:after="60" w:line="240" w:lineRule="auto"/>
              <w:widowControl w:val="off"/>
            </w:pPr>
            <w:r>
              <w:rPr>
                <w:rFonts w:eastAsia="Calibri" w:cs="Arial"/>
                <w:sz w:val="26"/>
                <w:szCs w:val="22"/>
                <w:lang w:val="ru-RU" w:eastAsia="en-US" w:bidi="ar-SA"/>
              </w:rPr>
              <w:t xml:space="preserve">Декларация о принадлежности Участника к иностранному лицу или российскому лицу в составе Письма о подаче оферты (форма 2) (</w:t>
            </w:r>
            <w:hyperlink w:tooltip="#Прил04_ФормыЗаявки" w:anchor="Прил04_ФормыЗаявки" w:history="1">
              <w:r>
                <w:rPr>
                  <w:rStyle w:val="1311"/>
                  <w:rFonts w:eastAsia="Calibri" w:cs="Arial"/>
                  <w:sz w:val="26"/>
                  <w:szCs w:val="22"/>
                  <w:lang w:val="ru-RU" w:eastAsia="en-US" w:bidi="ar-SA"/>
                </w:rPr>
                <w:t xml:space="preserve">Приложение № 4</w:t>
              </w:r>
            </w:hyperlink>
            <w:r>
              <w:rPr>
                <w:rFonts w:eastAsia="Calibri" w:cs="Arial"/>
                <w:sz w:val="26"/>
                <w:szCs w:val="22"/>
                <w:lang w:val="ru-RU" w:eastAsia="en-US" w:bidi="ar-SA"/>
              </w:rPr>
              <w:t xml:space="preserve">, а также указание Участником в составе заявки в Коммерческом предложении (форма 3) (</w:t>
            </w:r>
            <w:hyperlink w:tooltip="#Прил04_ФормыЗаявки" w:anchor="Прил04_ФормыЗаявки" w:history="1">
              <w:r>
                <w:rPr>
                  <w:rStyle w:val="1311"/>
                  <w:rFonts w:eastAsia="Calibri" w:cs="Arial"/>
                  <w:sz w:val="26"/>
                  <w:szCs w:val="22"/>
                  <w:lang w:val="ru-RU" w:eastAsia="en-US" w:bidi="ar-SA"/>
                </w:rPr>
                <w:t xml:space="preserve">Приложение № 4</w:t>
              </w:r>
            </w:hyperlink>
            <w:r>
              <w:rPr>
                <w:rFonts w:eastAsia="Calibri" w:cs="Arial"/>
                <w:sz w:val="26"/>
                <w:szCs w:val="22"/>
                <w:lang w:val="ru-RU" w:eastAsia="en-US" w:bidi="ar-SA"/>
              </w:rPr>
              <w:t xml:space="preserve">) соответствующих сведений.</w:t>
            </w:r>
            <w:r/>
          </w:p>
          <w:p>
            <w:pPr>
              <w:pStyle w:val="1342"/>
              <w:spacing w:before="60" w:after="60" w:line="240" w:lineRule="auto"/>
              <w:widowControl w:val="off"/>
              <w:rPr>
                <w:i/>
                <w:iCs/>
              </w:rPr>
            </w:pPr>
            <w:r>
              <w:rPr>
                <w:rFonts w:eastAsia="Calibri" w:cs="Arial"/>
                <w:i/>
                <w:iCs/>
                <w:sz w:val="26"/>
                <w:szCs w:val="22"/>
                <w:lang w:val="ru-RU" w:eastAsia="en-US" w:bidi="ar-SA"/>
              </w:rPr>
              <w:t xml:space="preserve">(В рамках рассмотрения заявок Организатор проверяет на соответствие данному требованию на основании сведений, размещенных на официальных сервисах ФНС России в сети интернет (в отношении иных стран ЕАЭС – на аналогичных официальных сервисах данных стран).)</w:t>
            </w:r>
            <w:r>
              <w:rPr>
                <w:i/>
                <w:iCs/>
              </w:rPr>
            </w:r>
            <w:r>
              <w:rPr>
                <w:i/>
                <w:iCs/>
              </w:rPr>
            </w:r>
          </w:p>
        </w:tc>
      </w:tr>
    </w:tbl>
    <w:p>
      <w:pPr>
        <w:pStyle w:val="1337"/>
        <w:spacing w:before="360" w:after="120"/>
      </w:pPr>
      <w:r/>
      <w:bookmarkStart w:id="305" w:name="_Toc230928873"/>
      <w:r/>
      <w:bookmarkStart w:id="306" w:name="_Ref125709888"/>
      <w:r/>
      <w:bookmarkStart w:id="307" w:name="_Ref125709401"/>
      <w:r/>
      <w:bookmarkStart w:id="308" w:name="_Ref125709250"/>
      <w:r/>
      <w:bookmarkStart w:id="309" w:name="_Ref125709153"/>
      <w:r/>
      <w:bookmarkStart w:id="310" w:name="_Ref125370079"/>
      <w:r/>
      <w:bookmarkStart w:id="311" w:name="_Ref125369099"/>
      <w:r/>
      <w:bookmarkStart w:id="312" w:name="_Ref125368916"/>
      <w:r/>
      <w:bookmarkStart w:id="313" w:name="_Ref125368901"/>
      <w:r/>
      <w:bookmarkStart w:id="314" w:name="_Ref125368818"/>
      <w:r/>
      <w:bookmarkStart w:id="315" w:name="_Ref125367539"/>
      <w:r/>
      <w:bookmarkStart w:id="316" w:name="_Ref125367521"/>
      <w:r/>
      <w:bookmarkStart w:id="317" w:name="_Ref125365459"/>
      <w:r/>
      <w:bookmarkStart w:id="318" w:name="_Ref125361937"/>
      <w:r/>
      <w:bookmarkStart w:id="319" w:name="_Ref125361869"/>
      <w:r/>
      <w:bookmarkStart w:id="320" w:name="_Ref125361671"/>
      <w:r/>
      <w:bookmarkStart w:id="321" w:name="_Ref125361633"/>
      <w:r/>
      <w:bookmarkStart w:id="322" w:name="_Ref125361442"/>
      <w:r>
        <w:t xml:space="preserve">Специальные требования</w:t>
      </w:r>
      <w:bookmarkEnd w:id="305"/>
      <w:r/>
      <w:bookmarkEnd w:id="306"/>
      <w:r/>
      <w:bookmarkEnd w:id="307"/>
      <w:r/>
      <w:bookmarkEnd w:id="308"/>
      <w:r/>
      <w:bookmarkEnd w:id="309"/>
      <w:r/>
      <w:bookmarkEnd w:id="310"/>
      <w:r/>
      <w:bookmarkEnd w:id="311"/>
      <w:r/>
      <w:bookmarkEnd w:id="312"/>
      <w:r/>
      <w:bookmarkEnd w:id="313"/>
      <w:r/>
      <w:bookmarkEnd w:id="314"/>
      <w:r/>
      <w:bookmarkEnd w:id="315"/>
      <w:r/>
      <w:bookmarkEnd w:id="316"/>
      <w:r/>
      <w:bookmarkEnd w:id="317"/>
      <w:r/>
      <w:bookmarkEnd w:id="318"/>
      <w:r/>
      <w:bookmarkEnd w:id="319"/>
      <w:r/>
      <w:bookmarkEnd w:id="320"/>
      <w:r/>
      <w:bookmarkEnd w:id="321"/>
      <w:r/>
      <w:bookmarkEnd w:id="322"/>
      <w:r/>
      <w:r/>
    </w:p>
    <w:tbl>
      <w:tblPr>
        <w:tblStyle w:val="1505"/>
        <w:tblW w:w="15126" w:type="dxa"/>
        <w:tblInd w:w="0" w:type="dxa"/>
        <w:tblLayout w:type="fixed"/>
        <w:tblCellMar>
          <w:left w:w="57" w:type="dxa"/>
          <w:top w:w="0" w:type="dxa"/>
          <w:right w:w="57" w:type="dxa"/>
          <w:bottom w:w="0" w:type="dxa"/>
        </w:tblCellMar>
        <w:tblLook w:val="04A0" w:firstRow="1" w:lastRow="0" w:firstColumn="1" w:lastColumn="0" w:noHBand="0" w:noVBand="1"/>
      </w:tblPr>
      <w:tblGrid>
        <w:gridCol w:w="1128"/>
        <w:gridCol w:w="5671"/>
        <w:gridCol w:w="8327"/>
      </w:tblGrid>
      <w:tr>
        <w:tblPrEx/>
        <w:trPr/>
        <w:tc>
          <w:tcPr>
            <w:tcW w:w="1128" w:type="dxa"/>
            <w:textDirection w:val="lrTb"/>
            <w:noWrap w:val="false"/>
          </w:tcPr>
          <w:p>
            <w:pPr>
              <w:pStyle w:val="1342"/>
              <w:jc w:val="center"/>
              <w:keepLines w:val="0"/>
              <w:keepNext w:val="0"/>
              <w:spacing w:before="60" w:after="60" w:line="240" w:lineRule="auto"/>
              <w:widowControl w:val="off"/>
              <w:rPr>
                <w:rFonts w:ascii="Times New Roman" w:hAnsi="Times New Roman" w:eastAsia="Calibri" w:cs="Arial"/>
                <w:b/>
                <w:sz w:val="26"/>
                <w:szCs w:val="22"/>
                <w:lang w:val="ru-RU" w:eastAsia="en-US" w:bidi="ar-SA"/>
              </w:rPr>
            </w:pPr>
            <w:r>
              <w:rPr>
                <w:rFonts w:eastAsia="Calibri" w:cs="Arial"/>
                <w:b/>
                <w:sz w:val="26"/>
                <w:szCs w:val="22"/>
                <w:lang w:val="ru-RU" w:eastAsia="en-US" w:bidi="ar-SA"/>
              </w:rPr>
              <w:t xml:space="preserve">№</w:t>
            </w:r>
            <w:r>
              <w:rPr>
                <w:rFonts w:eastAsia="Calibri" w:cs="Arial"/>
                <w:b/>
                <w:sz w:val="26"/>
                <w:szCs w:val="22"/>
                <w:lang w:val="ru-RU" w:eastAsia="en-US" w:bidi="ar-SA"/>
              </w:rPr>
              <w:br/>
              <w:t xml:space="preserve">п/п</w:t>
            </w:r>
            <w:r>
              <w:rPr>
                <w:rFonts w:ascii="Times New Roman" w:hAnsi="Times New Roman" w:eastAsia="Calibri" w:cs="Arial"/>
                <w:b/>
                <w:sz w:val="26"/>
                <w:szCs w:val="22"/>
                <w:lang w:val="ru-RU" w:eastAsia="en-US" w:bidi="ar-SA"/>
              </w:rPr>
            </w:r>
            <w:r>
              <w:rPr>
                <w:rFonts w:ascii="Times New Roman" w:hAnsi="Times New Roman" w:eastAsia="Calibri" w:cs="Arial"/>
                <w:b/>
                <w:sz w:val="26"/>
                <w:szCs w:val="22"/>
                <w:lang w:val="ru-RU" w:eastAsia="en-US" w:bidi="ar-SA"/>
              </w:rPr>
            </w:r>
          </w:p>
        </w:tc>
        <w:tc>
          <w:tcPr>
            <w:tcW w:w="5671" w:type="dxa"/>
            <w:textDirection w:val="lrTb"/>
            <w:noWrap w:val="false"/>
          </w:tcPr>
          <w:p>
            <w:pPr>
              <w:pStyle w:val="1342"/>
              <w:jc w:val="center"/>
              <w:keepLines w:val="0"/>
              <w:keepNext w:val="0"/>
              <w:spacing w:before="60" w:after="60" w:line="240" w:lineRule="auto"/>
              <w:widowControl w:val="off"/>
              <w:rPr>
                <w:rFonts w:ascii="Times New Roman" w:hAnsi="Times New Roman" w:eastAsia="Calibri" w:cs="Arial"/>
                <w:b/>
                <w:sz w:val="26"/>
                <w:szCs w:val="22"/>
                <w:lang w:val="ru-RU" w:eastAsia="en-US" w:bidi="ar-SA"/>
              </w:rPr>
            </w:pPr>
            <w:r>
              <w:rPr>
                <w:rFonts w:eastAsia="Calibri" w:cs="Arial"/>
                <w:b/>
                <w:sz w:val="26"/>
                <w:szCs w:val="22"/>
                <w:lang w:val="ru-RU" w:eastAsia="en-US" w:bidi="ar-SA"/>
              </w:rPr>
              <w:t xml:space="preserve">Требования к Участнику</w:t>
            </w:r>
            <w:r>
              <w:rPr>
                <w:rFonts w:ascii="Times New Roman" w:hAnsi="Times New Roman" w:eastAsia="Calibri" w:cs="Arial"/>
                <w:b/>
                <w:sz w:val="26"/>
                <w:szCs w:val="22"/>
                <w:lang w:val="ru-RU" w:eastAsia="en-US" w:bidi="ar-SA"/>
              </w:rPr>
            </w:r>
            <w:r>
              <w:rPr>
                <w:rFonts w:ascii="Times New Roman" w:hAnsi="Times New Roman" w:eastAsia="Calibri" w:cs="Arial"/>
                <w:b/>
                <w:sz w:val="26"/>
                <w:szCs w:val="22"/>
                <w:lang w:val="ru-RU" w:eastAsia="en-US" w:bidi="ar-SA"/>
              </w:rPr>
            </w:r>
          </w:p>
        </w:tc>
        <w:tc>
          <w:tcPr>
            <w:tcW w:w="8327" w:type="dxa"/>
            <w:textDirection w:val="lrTb"/>
            <w:noWrap w:val="false"/>
          </w:tcPr>
          <w:p>
            <w:pPr>
              <w:pStyle w:val="1342"/>
              <w:jc w:val="center"/>
              <w:keepLines w:val="0"/>
              <w:keepNext w:val="0"/>
              <w:spacing w:before="60" w:after="60" w:line="240" w:lineRule="auto"/>
              <w:widowControl w:val="off"/>
              <w:rPr>
                <w:rFonts w:ascii="Times New Roman" w:hAnsi="Times New Roman" w:eastAsia="Calibri" w:cs="Arial"/>
                <w:b/>
                <w:sz w:val="26"/>
                <w:szCs w:val="22"/>
                <w:lang w:val="ru-RU" w:eastAsia="en-US" w:bidi="ar-SA"/>
              </w:rPr>
            </w:pPr>
            <w:r>
              <w:rPr>
                <w:rFonts w:eastAsia="Calibri" w:cs="Arial"/>
                <w:b/>
                <w:sz w:val="26"/>
                <w:szCs w:val="22"/>
                <w:lang w:val="ru-RU" w:eastAsia="en-US" w:bidi="ar-SA"/>
              </w:rPr>
              <w:t xml:space="preserve">Требования к документам,</w:t>
              <w:br/>
              <w:t xml:space="preserve">подтверждающим соответствие Участника установленным требованиям</w:t>
            </w:r>
            <w:r>
              <w:rPr>
                <w:rFonts w:ascii="Times New Roman" w:hAnsi="Times New Roman" w:eastAsia="Calibri" w:cs="Arial"/>
                <w:b/>
                <w:sz w:val="26"/>
                <w:szCs w:val="22"/>
                <w:lang w:val="ru-RU" w:eastAsia="en-US" w:bidi="ar-SA"/>
              </w:rPr>
            </w:r>
            <w:r>
              <w:rPr>
                <w:rFonts w:ascii="Times New Roman" w:hAnsi="Times New Roman" w:eastAsia="Calibri" w:cs="Arial"/>
                <w:b/>
                <w:sz w:val="26"/>
                <w:szCs w:val="22"/>
                <w:lang w:val="ru-RU" w:eastAsia="en-US" w:bidi="ar-SA"/>
              </w:rPr>
            </w:r>
          </w:p>
        </w:tc>
      </w:tr>
      <w:tr>
        <w:tblPrEx/>
        <w:trPr/>
        <w:tc>
          <w:tcPr>
            <w:tcW w:w="1128" w:type="dxa"/>
            <w:textDirection w:val="lrTb"/>
            <w:noWrap w:val="false"/>
          </w:tcPr>
          <w:p>
            <w:pPr>
              <w:pStyle w:val="1342"/>
              <w:numPr>
                <w:ilvl w:val="0"/>
                <w:numId w:val="3"/>
              </w:numPr>
              <w:ind w:left="284" w:firstLine="0"/>
              <w:jc w:val="center"/>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5671" w:type="dxa"/>
            <w:textDirection w:val="lrTb"/>
            <w:noWrap w:val="false"/>
          </w:tcPr>
          <w:p>
            <w:pPr>
              <w:pStyle w:val="1342"/>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Специальные требования не установлены.</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8327" w:type="dxa"/>
            <w:textDirection w:val="lrTb"/>
            <w:noWrap w:val="false"/>
          </w:tcPr>
          <w:p>
            <w:pPr>
              <w:pStyle w:val="1342"/>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Специальные требования не установлены.</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r>
    </w:tbl>
    <w:p>
      <w:pPr>
        <w:pStyle w:val="1337"/>
        <w:spacing w:before="360" w:after="120"/>
      </w:pPr>
      <w:r/>
      <w:bookmarkStart w:id="323" w:name="_Toc230928874"/>
      <w:r/>
      <w:bookmarkStart w:id="324" w:name="_Ref125709895"/>
      <w:r/>
      <w:bookmarkStart w:id="325" w:name="_Ref125709541"/>
      <w:r/>
      <w:bookmarkStart w:id="326" w:name="_Ref125709256"/>
      <w:r/>
      <w:bookmarkStart w:id="327" w:name="_Ref125709154"/>
      <w:r/>
      <w:bookmarkStart w:id="328" w:name="_Ref125553681"/>
      <w:r/>
      <w:bookmarkStart w:id="329" w:name="_Ref125553475"/>
      <w:r/>
      <w:bookmarkStart w:id="330" w:name="_Ref125553296"/>
      <w:r/>
      <w:bookmarkStart w:id="331" w:name="_Ref125553242"/>
      <w:r/>
      <w:bookmarkStart w:id="332" w:name="_Ref125550353"/>
      <w:r/>
      <w:bookmarkStart w:id="333" w:name="_Ref125550270"/>
      <w:r>
        <w:t xml:space="preserve">Квалификационные требования</w:t>
      </w:r>
      <w:bookmarkEnd w:id="323"/>
      <w:r/>
      <w:bookmarkEnd w:id="324"/>
      <w:r/>
      <w:bookmarkEnd w:id="325"/>
      <w:r/>
      <w:bookmarkEnd w:id="326"/>
      <w:r/>
      <w:bookmarkEnd w:id="327"/>
      <w:r/>
      <w:bookmarkEnd w:id="328"/>
      <w:r/>
      <w:bookmarkEnd w:id="329"/>
      <w:r/>
      <w:bookmarkEnd w:id="330"/>
      <w:r/>
      <w:bookmarkEnd w:id="331"/>
      <w:r/>
      <w:bookmarkEnd w:id="332"/>
      <w:r/>
      <w:bookmarkEnd w:id="333"/>
      <w:r/>
      <w:r/>
    </w:p>
    <w:tbl>
      <w:tblPr>
        <w:tblStyle w:val="1505"/>
        <w:tblW w:w="15126" w:type="dxa"/>
        <w:tblInd w:w="0" w:type="dxa"/>
        <w:tblLayout w:type="fixed"/>
        <w:tblCellMar>
          <w:left w:w="57" w:type="dxa"/>
          <w:top w:w="0" w:type="dxa"/>
          <w:right w:w="57" w:type="dxa"/>
          <w:bottom w:w="0" w:type="dxa"/>
        </w:tblCellMar>
        <w:tblLook w:val="04A0" w:firstRow="1" w:lastRow="0" w:firstColumn="1" w:lastColumn="0" w:noHBand="0" w:noVBand="1"/>
      </w:tblPr>
      <w:tblGrid>
        <w:gridCol w:w="1128"/>
        <w:gridCol w:w="5671"/>
        <w:gridCol w:w="8327"/>
      </w:tblGrid>
      <w:tr>
        <w:tblPrEx/>
        <w:trPr/>
        <w:tc>
          <w:tcPr>
            <w:tcW w:w="1128" w:type="dxa"/>
            <w:textDirection w:val="lrTb"/>
            <w:noWrap w:val="false"/>
          </w:tcPr>
          <w:p>
            <w:pPr>
              <w:pStyle w:val="1342"/>
              <w:jc w:val="center"/>
              <w:keepLines w:val="0"/>
              <w:keepNext w:val="0"/>
              <w:spacing w:before="60" w:after="60" w:line="240" w:lineRule="auto"/>
              <w:widowControl w:val="off"/>
              <w:rPr>
                <w:rFonts w:ascii="Times New Roman" w:hAnsi="Times New Roman" w:eastAsia="Calibri" w:cs="Arial"/>
                <w:b/>
                <w:sz w:val="26"/>
                <w:szCs w:val="22"/>
                <w:lang w:val="ru-RU" w:eastAsia="en-US" w:bidi="ar-SA"/>
              </w:rPr>
            </w:pPr>
            <w:r>
              <w:rPr>
                <w:rFonts w:eastAsia="Calibri" w:cs="Arial"/>
                <w:b/>
                <w:sz w:val="26"/>
                <w:szCs w:val="22"/>
                <w:lang w:val="ru-RU" w:eastAsia="en-US" w:bidi="ar-SA"/>
              </w:rPr>
              <w:t xml:space="preserve">№</w:t>
            </w:r>
            <w:r>
              <w:rPr>
                <w:rFonts w:eastAsia="Calibri" w:cs="Arial"/>
                <w:b/>
                <w:sz w:val="26"/>
                <w:szCs w:val="22"/>
                <w:lang w:val="ru-RU" w:eastAsia="en-US" w:bidi="ar-SA"/>
              </w:rPr>
              <w:br/>
              <w:t xml:space="preserve">п/п</w:t>
            </w:r>
            <w:r>
              <w:rPr>
                <w:rFonts w:ascii="Times New Roman" w:hAnsi="Times New Roman" w:eastAsia="Calibri" w:cs="Arial"/>
                <w:b/>
                <w:sz w:val="26"/>
                <w:szCs w:val="22"/>
                <w:lang w:val="ru-RU" w:eastAsia="en-US" w:bidi="ar-SA"/>
              </w:rPr>
            </w:r>
            <w:r>
              <w:rPr>
                <w:rFonts w:ascii="Times New Roman" w:hAnsi="Times New Roman" w:eastAsia="Calibri" w:cs="Arial"/>
                <w:b/>
                <w:sz w:val="26"/>
                <w:szCs w:val="22"/>
                <w:lang w:val="ru-RU" w:eastAsia="en-US" w:bidi="ar-SA"/>
              </w:rPr>
            </w:r>
          </w:p>
        </w:tc>
        <w:tc>
          <w:tcPr>
            <w:tcW w:w="5671" w:type="dxa"/>
            <w:textDirection w:val="lrTb"/>
            <w:noWrap w:val="false"/>
          </w:tcPr>
          <w:p>
            <w:pPr>
              <w:pStyle w:val="1342"/>
              <w:jc w:val="center"/>
              <w:keepLines w:val="0"/>
              <w:keepNext w:val="0"/>
              <w:spacing w:before="60" w:after="60" w:line="240" w:lineRule="auto"/>
              <w:widowControl w:val="off"/>
              <w:rPr>
                <w:rFonts w:ascii="Times New Roman" w:hAnsi="Times New Roman" w:eastAsia="Calibri" w:cs="Arial"/>
                <w:b/>
                <w:sz w:val="26"/>
                <w:szCs w:val="22"/>
                <w:lang w:val="ru-RU" w:eastAsia="en-US" w:bidi="ar-SA"/>
              </w:rPr>
            </w:pPr>
            <w:r>
              <w:rPr>
                <w:rFonts w:eastAsia="Calibri" w:cs="Arial"/>
                <w:b/>
                <w:sz w:val="26"/>
                <w:szCs w:val="22"/>
                <w:lang w:val="ru-RU" w:eastAsia="en-US" w:bidi="ar-SA"/>
              </w:rPr>
              <w:t xml:space="preserve">Требования к Участнику</w:t>
            </w:r>
            <w:r>
              <w:rPr>
                <w:rFonts w:ascii="Times New Roman" w:hAnsi="Times New Roman" w:eastAsia="Calibri" w:cs="Arial"/>
                <w:b/>
                <w:sz w:val="26"/>
                <w:szCs w:val="22"/>
                <w:lang w:val="ru-RU" w:eastAsia="en-US" w:bidi="ar-SA"/>
              </w:rPr>
            </w:r>
            <w:r>
              <w:rPr>
                <w:rFonts w:ascii="Times New Roman" w:hAnsi="Times New Roman" w:eastAsia="Calibri" w:cs="Arial"/>
                <w:b/>
                <w:sz w:val="26"/>
                <w:szCs w:val="22"/>
                <w:lang w:val="ru-RU" w:eastAsia="en-US" w:bidi="ar-SA"/>
              </w:rPr>
            </w:r>
          </w:p>
        </w:tc>
        <w:tc>
          <w:tcPr>
            <w:tcW w:w="8327" w:type="dxa"/>
            <w:textDirection w:val="lrTb"/>
            <w:noWrap w:val="false"/>
          </w:tcPr>
          <w:p>
            <w:pPr>
              <w:pStyle w:val="1342"/>
              <w:jc w:val="center"/>
              <w:keepLines w:val="0"/>
              <w:keepNext w:val="0"/>
              <w:spacing w:before="60" w:after="60" w:line="240" w:lineRule="auto"/>
              <w:widowControl w:val="off"/>
              <w:rPr>
                <w:rFonts w:ascii="Times New Roman" w:hAnsi="Times New Roman" w:eastAsia="Calibri" w:cs="Arial"/>
                <w:b/>
                <w:sz w:val="26"/>
                <w:szCs w:val="22"/>
                <w:lang w:val="ru-RU" w:eastAsia="en-US" w:bidi="ar-SA"/>
              </w:rPr>
            </w:pPr>
            <w:r>
              <w:rPr>
                <w:rFonts w:eastAsia="Calibri" w:cs="Arial"/>
                <w:b/>
                <w:sz w:val="26"/>
                <w:szCs w:val="22"/>
                <w:lang w:val="ru-RU" w:eastAsia="en-US" w:bidi="ar-SA"/>
              </w:rPr>
              <w:t xml:space="preserve">Требования к документам,</w:t>
              <w:br/>
              <w:t xml:space="preserve">подтверждающим соответствие Участника установленным требованиям</w:t>
            </w:r>
            <w:r>
              <w:rPr>
                <w:rFonts w:ascii="Times New Roman" w:hAnsi="Times New Roman" w:eastAsia="Calibri" w:cs="Arial"/>
                <w:b/>
                <w:sz w:val="26"/>
                <w:szCs w:val="22"/>
                <w:lang w:val="ru-RU" w:eastAsia="en-US" w:bidi="ar-SA"/>
              </w:rPr>
            </w:r>
            <w:r>
              <w:rPr>
                <w:rFonts w:ascii="Times New Roman" w:hAnsi="Times New Roman" w:eastAsia="Calibri" w:cs="Arial"/>
                <w:b/>
                <w:sz w:val="26"/>
                <w:szCs w:val="22"/>
                <w:lang w:val="ru-RU" w:eastAsia="en-US" w:bidi="ar-SA"/>
              </w:rPr>
            </w:r>
          </w:p>
        </w:tc>
      </w:tr>
      <w:tr>
        <w:tblPrEx/>
        <w:trPr/>
        <w:tc>
          <w:tcPr>
            <w:tcW w:w="1128" w:type="dxa"/>
            <w:textDirection w:val="lrTb"/>
            <w:noWrap w:val="false"/>
          </w:tcPr>
          <w:p>
            <w:pPr>
              <w:pStyle w:val="1342"/>
              <w:numPr>
                <w:ilvl w:val="0"/>
                <w:numId w:val="10"/>
              </w:numPr>
              <w:ind w:left="284" w:firstLine="0"/>
              <w:jc w:val="center"/>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5671" w:type="dxa"/>
            <w:textDirection w:val="lrTb"/>
            <w:noWrap w:val="false"/>
          </w:tcPr>
          <w:p>
            <w:pPr>
              <w:pStyle w:val="1342"/>
            </w:pPr>
            <w:r>
              <w:t xml:space="preserve">Квалификационные т</w:t>
            </w:r>
            <w:r>
              <w:t xml:space="preserve">ребования не установлены.</w:t>
            </w:r>
            <w:r/>
          </w:p>
        </w:tc>
        <w:tc>
          <w:tcPr>
            <w:tcW w:w="8327" w:type="dxa"/>
            <w:textDirection w:val="lrTb"/>
            <w:noWrap w:val="false"/>
          </w:tcPr>
          <w:p>
            <w:pPr>
              <w:pStyle w:val="1342"/>
              <w:rPr>
                <w:highlight w:val="none"/>
              </w:rPr>
            </w:pPr>
            <w:r>
              <w:t xml:space="preserve">Квалификационные т</w:t>
            </w:r>
            <w:r>
              <w:t xml:space="preserve">ребования не установлены.</w:t>
            </w:r>
            <w:r>
              <w:rPr>
                <w:highlight w:val="none"/>
              </w:rPr>
            </w:r>
            <w:r>
              <w:rPr>
                <w:highlight w:val="none"/>
              </w:rPr>
            </w:r>
          </w:p>
          <w:p>
            <w:pPr>
              <w:pStyle w:val="1342"/>
            </w:pPr>
            <w:r/>
            <w:r/>
          </w:p>
          <w:p>
            <w:pPr>
              <w:pStyle w:val="1342"/>
            </w:pPr>
            <w:r/>
            <w:r/>
          </w:p>
          <w:p>
            <w:pPr>
              <w:pStyle w:val="1342"/>
            </w:pPr>
            <w:r>
              <w:rPr>
                <w:highlight w:val="none"/>
              </w:rPr>
            </w:r>
            <w:r>
              <w:rPr>
                <w:highlight w:val="none"/>
              </w:rPr>
            </w:r>
            <w:r/>
          </w:p>
        </w:tc>
      </w:tr>
    </w:tbl>
    <w:p>
      <w:pPr>
        <w:pStyle w:val="1337"/>
        <w:spacing w:before="360" w:after="120"/>
      </w:pPr>
      <w:r/>
      <w:bookmarkStart w:id="334" w:name="_Toc230928875"/>
      <w:r/>
      <w:bookmarkStart w:id="335" w:name="_Ref125709228"/>
      <w:r/>
      <w:bookmarkStart w:id="336" w:name="_Ref125553703"/>
      <w:r/>
      <w:bookmarkStart w:id="337" w:name="_Ref125553692"/>
      <w:r/>
      <w:bookmarkStart w:id="338" w:name="_Ref125553500"/>
      <w:r/>
      <w:bookmarkStart w:id="339" w:name="_Ref125552455"/>
      <w:r>
        <w:t xml:space="preserve">Дополнительные требования к Коллективным участникам</w:t>
      </w:r>
      <w:bookmarkEnd w:id="334"/>
      <w:r/>
      <w:bookmarkEnd w:id="335"/>
      <w:r/>
      <w:bookmarkEnd w:id="336"/>
      <w:r/>
      <w:bookmarkEnd w:id="337"/>
      <w:r/>
      <w:bookmarkEnd w:id="338"/>
      <w:r/>
      <w:bookmarkEnd w:id="339"/>
      <w:r/>
      <w:r/>
    </w:p>
    <w:tbl>
      <w:tblPr>
        <w:tblStyle w:val="1505"/>
        <w:tblW w:w="15126" w:type="dxa"/>
        <w:tblInd w:w="0" w:type="dxa"/>
        <w:tblLayout w:type="fixed"/>
        <w:tblCellMar>
          <w:left w:w="57" w:type="dxa"/>
          <w:top w:w="0" w:type="dxa"/>
          <w:right w:w="57" w:type="dxa"/>
          <w:bottom w:w="0" w:type="dxa"/>
        </w:tblCellMar>
        <w:tblLook w:val="04A0" w:firstRow="1" w:lastRow="0" w:firstColumn="1" w:lastColumn="0" w:noHBand="0" w:noVBand="1"/>
      </w:tblPr>
      <w:tblGrid>
        <w:gridCol w:w="1128"/>
        <w:gridCol w:w="5671"/>
        <w:gridCol w:w="8327"/>
      </w:tblGrid>
      <w:tr>
        <w:tblPrEx/>
        <w:trPr/>
        <w:tc>
          <w:tcPr>
            <w:tcW w:w="1128" w:type="dxa"/>
            <w:textDirection w:val="lrTb"/>
            <w:noWrap w:val="false"/>
          </w:tcPr>
          <w:p>
            <w:pPr>
              <w:pStyle w:val="1342"/>
              <w:jc w:val="center"/>
              <w:keepLines w:val="0"/>
              <w:keepNext w:val="0"/>
              <w:spacing w:before="60" w:after="60" w:line="240" w:lineRule="auto"/>
              <w:widowControl w:val="off"/>
              <w:rPr>
                <w:rFonts w:ascii="Times New Roman" w:hAnsi="Times New Roman" w:eastAsia="Calibri" w:cs="Arial"/>
                <w:b/>
                <w:sz w:val="26"/>
                <w:szCs w:val="22"/>
                <w:lang w:val="ru-RU" w:eastAsia="en-US" w:bidi="ar-SA"/>
              </w:rPr>
            </w:pPr>
            <w:r>
              <w:rPr>
                <w:rFonts w:eastAsia="Calibri" w:cs="Arial"/>
                <w:b/>
                <w:sz w:val="26"/>
                <w:szCs w:val="22"/>
                <w:lang w:val="ru-RU" w:eastAsia="en-US" w:bidi="ar-SA"/>
              </w:rPr>
              <w:t xml:space="preserve">№</w:t>
            </w:r>
            <w:r>
              <w:rPr>
                <w:rFonts w:eastAsia="Calibri" w:cs="Arial"/>
                <w:b/>
                <w:sz w:val="26"/>
                <w:szCs w:val="22"/>
                <w:lang w:val="ru-RU" w:eastAsia="en-US" w:bidi="ar-SA"/>
              </w:rPr>
              <w:br/>
              <w:t xml:space="preserve">п/п</w:t>
            </w:r>
            <w:r>
              <w:rPr>
                <w:rFonts w:ascii="Times New Roman" w:hAnsi="Times New Roman" w:eastAsia="Calibri" w:cs="Arial"/>
                <w:b/>
                <w:sz w:val="26"/>
                <w:szCs w:val="22"/>
                <w:lang w:val="ru-RU" w:eastAsia="en-US" w:bidi="ar-SA"/>
              </w:rPr>
            </w:r>
            <w:r>
              <w:rPr>
                <w:rFonts w:ascii="Times New Roman" w:hAnsi="Times New Roman" w:eastAsia="Calibri" w:cs="Arial"/>
                <w:b/>
                <w:sz w:val="26"/>
                <w:szCs w:val="22"/>
                <w:lang w:val="ru-RU" w:eastAsia="en-US" w:bidi="ar-SA"/>
              </w:rPr>
            </w:r>
          </w:p>
        </w:tc>
        <w:tc>
          <w:tcPr>
            <w:tcW w:w="5671" w:type="dxa"/>
            <w:textDirection w:val="lrTb"/>
            <w:noWrap w:val="false"/>
          </w:tcPr>
          <w:p>
            <w:pPr>
              <w:pStyle w:val="1342"/>
              <w:jc w:val="center"/>
              <w:keepLines w:val="0"/>
              <w:keepNext w:val="0"/>
              <w:spacing w:before="60" w:after="60" w:line="240" w:lineRule="auto"/>
              <w:widowControl w:val="off"/>
              <w:rPr>
                <w:rFonts w:ascii="Times New Roman" w:hAnsi="Times New Roman" w:eastAsia="Calibri" w:cs="Arial"/>
                <w:b/>
                <w:sz w:val="26"/>
                <w:szCs w:val="22"/>
                <w:lang w:val="ru-RU" w:eastAsia="en-US" w:bidi="ar-SA"/>
              </w:rPr>
            </w:pPr>
            <w:r>
              <w:rPr>
                <w:rFonts w:eastAsia="Calibri" w:cs="Arial"/>
                <w:b/>
                <w:sz w:val="26"/>
                <w:szCs w:val="22"/>
                <w:lang w:val="ru-RU" w:eastAsia="en-US" w:bidi="ar-SA"/>
              </w:rPr>
              <w:t xml:space="preserve">Требования к Коллективному участнику</w:t>
            </w:r>
            <w:r>
              <w:rPr>
                <w:rFonts w:ascii="Times New Roman" w:hAnsi="Times New Roman" w:eastAsia="Calibri" w:cs="Arial"/>
                <w:b/>
                <w:sz w:val="26"/>
                <w:szCs w:val="22"/>
                <w:lang w:val="ru-RU" w:eastAsia="en-US" w:bidi="ar-SA"/>
              </w:rPr>
            </w:r>
            <w:r>
              <w:rPr>
                <w:rFonts w:ascii="Times New Roman" w:hAnsi="Times New Roman" w:eastAsia="Calibri" w:cs="Arial"/>
                <w:b/>
                <w:sz w:val="26"/>
                <w:szCs w:val="22"/>
                <w:lang w:val="ru-RU" w:eastAsia="en-US" w:bidi="ar-SA"/>
              </w:rPr>
            </w:r>
          </w:p>
        </w:tc>
        <w:tc>
          <w:tcPr>
            <w:tcW w:w="8327" w:type="dxa"/>
            <w:textDirection w:val="lrTb"/>
            <w:noWrap w:val="false"/>
          </w:tcPr>
          <w:p>
            <w:pPr>
              <w:pStyle w:val="1342"/>
              <w:jc w:val="center"/>
              <w:keepLines w:val="0"/>
              <w:keepNext w:val="0"/>
              <w:spacing w:before="60" w:after="60" w:line="240" w:lineRule="auto"/>
              <w:widowControl w:val="off"/>
              <w:rPr>
                <w:rFonts w:ascii="Times New Roman" w:hAnsi="Times New Roman" w:eastAsia="Calibri" w:cs="Arial"/>
                <w:b/>
                <w:sz w:val="26"/>
                <w:szCs w:val="22"/>
                <w:lang w:val="ru-RU" w:eastAsia="en-US" w:bidi="ar-SA"/>
              </w:rPr>
            </w:pPr>
            <w:r>
              <w:rPr>
                <w:rFonts w:eastAsia="Calibri" w:cs="Arial"/>
                <w:b/>
                <w:sz w:val="26"/>
                <w:szCs w:val="22"/>
                <w:lang w:val="ru-RU" w:eastAsia="en-US" w:bidi="ar-SA"/>
              </w:rPr>
              <w:t xml:space="preserve">Требования к документам, подтверждающим соответствие</w:t>
              <w:br/>
              <w:t xml:space="preserve">Коллективного участника установленным требованиям</w:t>
            </w:r>
            <w:r>
              <w:rPr>
                <w:rFonts w:ascii="Times New Roman" w:hAnsi="Times New Roman" w:eastAsia="Calibri" w:cs="Arial"/>
                <w:b/>
                <w:sz w:val="26"/>
                <w:szCs w:val="22"/>
                <w:lang w:val="ru-RU" w:eastAsia="en-US" w:bidi="ar-SA"/>
              </w:rPr>
            </w:r>
            <w:r>
              <w:rPr>
                <w:rFonts w:ascii="Times New Roman" w:hAnsi="Times New Roman" w:eastAsia="Calibri" w:cs="Arial"/>
                <w:b/>
                <w:sz w:val="26"/>
                <w:szCs w:val="22"/>
                <w:lang w:val="ru-RU" w:eastAsia="en-US" w:bidi="ar-SA"/>
              </w:rPr>
            </w:r>
          </w:p>
        </w:tc>
      </w:tr>
      <w:tr>
        <w:tblPrEx/>
        <w:trPr/>
        <w:tc>
          <w:tcPr>
            <w:tcW w:w="1128" w:type="dxa"/>
            <w:textDirection w:val="lrTb"/>
            <w:noWrap w:val="false"/>
          </w:tcPr>
          <w:p>
            <w:pPr>
              <w:pStyle w:val="1342"/>
              <w:numPr>
                <w:ilvl w:val="0"/>
                <w:numId w:val="4"/>
              </w:numPr>
              <w:ind w:left="284" w:firstLine="0"/>
              <w:jc w:val="center"/>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r>
            <w:bookmarkStart w:id="341" w:name="_Ref125370156"/>
            <w:r/>
            <w:bookmarkEnd w:id="341"/>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5671" w:type="dxa"/>
            <w:textDirection w:val="lrTb"/>
            <w:noWrap w:val="false"/>
          </w:tcPr>
          <w:p>
            <w:pPr>
              <w:pStyle w:val="1342"/>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Члены Коллективного участника должны иметь между собой соглашение (или иной документ), соответствующее нормам ГК РФ:</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8327" w:type="dxa"/>
            <w:textDirection w:val="lrTb"/>
            <w:noWrap w:val="false"/>
          </w:tcPr>
          <w:p>
            <w:pPr>
              <w:pStyle w:val="1342"/>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Копия Соглашения между членами Коллективного участника, подготовленного в соответствии с требованиями пункта </w:t>
            </w:r>
            <w:r>
              <w:rPr>
                <w:rFonts w:eastAsia="Calibri" w:cs="Arial"/>
                <w:sz w:val="26"/>
                <w:szCs w:val="22"/>
                <w:lang w:val="ru-RU" w:eastAsia="en-US" w:bidi="ar-SA"/>
              </w:rPr>
              <w:fldChar w:fldCharType="begin"/>
            </w:r>
            <w:r>
              <w:rPr>
                <w:rFonts w:eastAsia="Calibri" w:cs="Arial"/>
                <w:sz w:val="26"/>
                <w:szCs w:val="22"/>
                <w:lang w:val="ru-RU" w:eastAsia="en-US" w:bidi="ar-SA"/>
              </w:rPr>
              <w:instrText xml:space="preserve"> REF _Ref125366972 \w \h </w:instrText>
            </w:r>
            <w:r>
              <w:rPr>
                <w:rFonts w:eastAsia="Calibri" w:cs="Arial"/>
                <w:sz w:val="26"/>
                <w:szCs w:val="22"/>
                <w:lang w:val="ru-RU" w:eastAsia="en-US" w:bidi="ar-SA"/>
              </w:rPr>
              <w:fldChar w:fldCharType="separate"/>
            </w:r>
            <w:r>
              <w:rPr>
                <w:rFonts w:eastAsia="Calibri" w:cs="Arial"/>
                <w:sz w:val="26"/>
                <w:szCs w:val="22"/>
                <w:lang w:val="ru-RU" w:eastAsia="en-US" w:bidi="ar-SA"/>
              </w:rPr>
              <w:t xml:space="preserve">3.2.3</w:t>
            </w:r>
            <w:r>
              <w:rPr>
                <w:rFonts w:eastAsia="Calibri" w:cs="Arial"/>
                <w:sz w:val="26"/>
                <w:szCs w:val="22"/>
                <w:lang w:val="ru-RU" w:eastAsia="en-US" w:bidi="ar-SA"/>
              </w:rPr>
              <w:fldChar w:fldCharType="end"/>
            </w:r>
            <w:r>
              <w:rPr>
                <w:rFonts w:eastAsia="Calibri" w:cs="Arial"/>
                <w:sz w:val="26"/>
                <w:szCs w:val="22"/>
                <w:lang w:val="ru-RU" w:eastAsia="en-US" w:bidi="ar-SA"/>
              </w:rPr>
              <w:t xml:space="preserve">;</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r>
      <w:tr>
        <w:tblPrEx/>
        <w:trPr/>
        <w:tc>
          <w:tcPr>
            <w:tcW w:w="1128" w:type="dxa"/>
            <w:textDirection w:val="lrTb"/>
            <w:noWrap w:val="false"/>
          </w:tcPr>
          <w:p>
            <w:pPr>
              <w:pStyle w:val="1342"/>
              <w:numPr>
                <w:ilvl w:val="0"/>
                <w:numId w:val="4"/>
              </w:numPr>
              <w:ind w:left="284" w:firstLine="0"/>
              <w:jc w:val="center"/>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r>
            <w:bookmarkStart w:id="343" w:name="_Ref125553738"/>
            <w:r/>
            <w:bookmarkEnd w:id="343"/>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5671" w:type="dxa"/>
            <w:textDirection w:val="lrTb"/>
            <w:noWrap w:val="false"/>
          </w:tcPr>
          <w:p>
            <w:pPr>
              <w:pStyle w:val="1342"/>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Заявка Коллективного участника дополнительно должна включать сведения о распределении объемов поставки продукции между членами Коллективного участника:</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8327" w:type="dxa"/>
            <w:textDirection w:val="lrTb"/>
            <w:noWrap w:val="false"/>
          </w:tcPr>
          <w:p>
            <w:pPr>
              <w:pStyle w:val="1342"/>
              <w:spacing w:before="60" w:after="60" w:line="240" w:lineRule="auto"/>
              <w:widowControl w:val="off"/>
            </w:pPr>
            <w:r>
              <w:rPr>
                <w:rFonts w:eastAsia="Calibri" w:cs="Arial"/>
                <w:sz w:val="26"/>
                <w:szCs w:val="22"/>
                <w:lang w:val="ru-RU" w:eastAsia="en-US" w:bidi="ar-SA"/>
              </w:rPr>
              <w:t xml:space="preserve">План распределения объемов поставки продукции (форма 10) (</w:t>
            </w:r>
            <w:hyperlink w:tooltip="#Прил04_ФормыЗаявки" w:anchor="Прил04_ФормыЗаявки" w:history="1">
              <w:r>
                <w:rPr>
                  <w:rStyle w:val="1311"/>
                  <w:rFonts w:eastAsia="Calibri" w:cs="Arial"/>
                  <w:sz w:val="26"/>
                  <w:szCs w:val="22"/>
                  <w:lang w:val="ru-RU" w:eastAsia="en-US" w:bidi="ar-SA"/>
                </w:rPr>
                <w:t xml:space="preserve">Приложение № 4</w:t>
              </w:r>
            </w:hyperlink>
            <w:r>
              <w:rPr>
                <w:rFonts w:eastAsia="Calibri" w:cs="Arial"/>
                <w:sz w:val="26"/>
                <w:szCs w:val="22"/>
                <w:lang w:val="ru-RU" w:eastAsia="en-US" w:bidi="ar-SA"/>
              </w:rPr>
              <w:t xml:space="preserve">) с указанием необходимой информации;</w:t>
            </w:r>
            <w:r/>
          </w:p>
        </w:tc>
      </w:tr>
      <w:tr>
        <w:tblPrEx/>
        <w:trPr/>
        <w:tc>
          <w:tcPr>
            <w:tcW w:w="1128" w:type="dxa"/>
            <w:textDirection w:val="lrTb"/>
            <w:noWrap w:val="false"/>
          </w:tcPr>
          <w:p>
            <w:pPr>
              <w:pStyle w:val="1342"/>
              <w:numPr>
                <w:ilvl w:val="0"/>
                <w:numId w:val="4"/>
              </w:numPr>
              <w:ind w:left="284" w:firstLine="0"/>
              <w:jc w:val="center"/>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r>
            <w:bookmarkStart w:id="345" w:name="_Ref125370162"/>
            <w:r/>
            <w:bookmarkEnd w:id="345"/>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5671" w:type="dxa"/>
            <w:textDirection w:val="lrTb"/>
            <w:noWrap w:val="false"/>
          </w:tcPr>
          <w:p>
            <w:pPr>
              <w:pStyle w:val="1342"/>
              <w:spacing w:before="60" w:after="60" w:line="240" w:lineRule="auto"/>
              <w:widowControl w:val="off"/>
            </w:pPr>
            <w:r>
              <w:rPr>
                <w:rFonts w:eastAsia="Calibri" w:cs="Arial"/>
                <w:sz w:val="26"/>
                <w:szCs w:val="22"/>
                <w:lang w:val="ru-RU" w:eastAsia="en-US" w:bidi="ar-SA"/>
              </w:rPr>
              <w:t xml:space="preserve">Соответствие каждого члена Коллективного участника установленным требованиям (с учетом пунктов </w:t>
            </w:r>
            <w:r>
              <w:rPr>
                <w:rFonts w:eastAsia="Calibri" w:cs="Arial"/>
                <w:sz w:val="26"/>
                <w:szCs w:val="22"/>
                <w:lang w:val="ru-RU" w:eastAsia="en-US" w:bidi="ar-SA"/>
              </w:rPr>
              <w:fldChar w:fldCharType="begin"/>
            </w:r>
            <w:r>
              <w:rPr>
                <w:rFonts w:eastAsia="Calibri" w:cs="Arial"/>
                <w:sz w:val="26"/>
                <w:szCs w:val="22"/>
                <w:lang w:val="ru-RU" w:eastAsia="en-US" w:bidi="ar-SA"/>
              </w:rPr>
              <w:instrText xml:space="preserve"> REF _Ref125368791 \w \h </w:instrText>
            </w:r>
            <w:r>
              <w:rPr>
                <w:rFonts w:eastAsia="Calibri" w:cs="Arial"/>
                <w:sz w:val="26"/>
                <w:szCs w:val="22"/>
                <w:lang w:val="ru-RU" w:eastAsia="en-US" w:bidi="ar-SA"/>
              </w:rPr>
              <w:fldChar w:fldCharType="separate"/>
            </w:r>
            <w:r>
              <w:rPr>
                <w:rFonts w:eastAsia="Calibri" w:cs="Arial"/>
                <w:sz w:val="26"/>
                <w:szCs w:val="22"/>
                <w:lang w:val="ru-RU" w:eastAsia="en-US" w:bidi="ar-SA"/>
              </w:rPr>
              <w:t xml:space="preserve">3.2.5</w:t>
            </w:r>
            <w:r>
              <w:rPr>
                <w:rFonts w:eastAsia="Calibri" w:cs="Arial"/>
                <w:sz w:val="26"/>
                <w:szCs w:val="22"/>
                <w:lang w:val="ru-RU" w:eastAsia="en-US" w:bidi="ar-SA"/>
              </w:rPr>
              <w:fldChar w:fldCharType="end"/>
            </w:r>
            <w:r>
              <w:rPr>
                <w:rFonts w:eastAsia="Calibri" w:cs="Arial"/>
                <w:sz w:val="26"/>
                <w:szCs w:val="22"/>
                <w:lang w:val="ru-RU" w:eastAsia="en-US" w:bidi="ar-SA"/>
              </w:rPr>
              <w:t xml:space="preserve"> – </w:t>
            </w:r>
            <w:r>
              <w:rPr>
                <w:rFonts w:eastAsia="Calibri" w:cs="Arial"/>
                <w:sz w:val="26"/>
                <w:szCs w:val="22"/>
                <w:lang w:val="ru-RU" w:eastAsia="en-US" w:bidi="ar-SA"/>
              </w:rPr>
              <w:fldChar w:fldCharType="begin"/>
            </w:r>
            <w:r>
              <w:rPr>
                <w:rFonts w:eastAsia="Calibri" w:cs="Arial"/>
                <w:sz w:val="26"/>
                <w:szCs w:val="22"/>
                <w:lang w:val="ru-RU" w:eastAsia="en-US" w:bidi="ar-SA"/>
              </w:rPr>
              <w:instrText xml:space="preserve"> REF _Ref134705077 \r \h </w:instrText>
            </w:r>
            <w:r>
              <w:rPr>
                <w:rFonts w:eastAsia="Calibri" w:cs="Arial"/>
                <w:sz w:val="26"/>
                <w:szCs w:val="22"/>
                <w:lang w:val="ru-RU" w:eastAsia="en-US" w:bidi="ar-SA"/>
              </w:rPr>
              <w:fldChar w:fldCharType="separate"/>
            </w:r>
            <w:r>
              <w:rPr>
                <w:rFonts w:eastAsia="Calibri" w:cs="Arial"/>
                <w:sz w:val="26"/>
                <w:szCs w:val="22"/>
                <w:lang w:val="ru-RU" w:eastAsia="en-US" w:bidi="ar-SA"/>
              </w:rPr>
              <w:t xml:space="preserve">3.2.7</w:t>
            </w:r>
            <w:r>
              <w:rPr>
                <w:rFonts w:eastAsia="Calibri" w:cs="Arial"/>
                <w:sz w:val="26"/>
                <w:szCs w:val="22"/>
                <w:lang w:val="ru-RU" w:eastAsia="en-US" w:bidi="ar-SA"/>
              </w:rPr>
              <w:fldChar w:fldCharType="end"/>
            </w:r>
            <w:r>
              <w:rPr>
                <w:rFonts w:eastAsia="Calibri" w:cs="Arial"/>
                <w:sz w:val="26"/>
                <w:szCs w:val="22"/>
                <w:lang w:val="ru-RU" w:eastAsia="en-US" w:bidi="ar-SA"/>
              </w:rPr>
              <w:t xml:space="preserve">), в том числе с учетом объема поставки продукции, который ему предполагается поручить в соответствии с Планом распределения объемов поставки продукции внутри (форма 10) (</w:t>
            </w:r>
            <w:hyperlink w:tooltip="#Прил04_ФормыЗаявки" w:anchor="Прил04_ФормыЗаявки" w:history="1">
              <w:r>
                <w:rPr>
                  <w:rStyle w:val="1311"/>
                  <w:rFonts w:eastAsia="Calibri" w:cs="Arial"/>
                  <w:sz w:val="26"/>
                  <w:szCs w:val="22"/>
                  <w:lang w:val="ru-RU" w:eastAsia="en-US" w:bidi="ar-SA"/>
                </w:rPr>
                <w:t xml:space="preserve">Приложение № 4</w:t>
              </w:r>
            </w:hyperlink>
            <w:r>
              <w:rPr>
                <w:rFonts w:eastAsia="Calibri" w:cs="Arial"/>
                <w:sz w:val="26"/>
                <w:szCs w:val="22"/>
                <w:lang w:val="ru-RU" w:eastAsia="en-US" w:bidi="ar-SA"/>
              </w:rPr>
              <w:t xml:space="preserve">):</w:t>
            </w:r>
            <w:r/>
          </w:p>
        </w:tc>
        <w:tc>
          <w:tcPr>
            <w:tcW w:w="8327" w:type="dxa"/>
            <w:textDirection w:val="lrTb"/>
            <w:noWrap w:val="false"/>
          </w:tcPr>
          <w:p>
            <w:pPr>
              <w:pStyle w:val="1342"/>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Сведения и документы, аналогичные установленным в подразделах </w:t>
            </w:r>
            <w:r>
              <w:rPr>
                <w:rFonts w:eastAsia="Calibri" w:cs="Arial"/>
                <w:sz w:val="26"/>
                <w:szCs w:val="22"/>
                <w:lang w:val="ru-RU" w:eastAsia="en-US" w:bidi="ar-SA"/>
              </w:rPr>
              <w:fldChar w:fldCharType="begin"/>
            </w:r>
            <w:r>
              <w:rPr>
                <w:rFonts w:eastAsia="Calibri" w:cs="Arial"/>
                <w:sz w:val="26"/>
                <w:szCs w:val="22"/>
                <w:lang w:val="ru-RU" w:eastAsia="en-US" w:bidi="ar-SA"/>
              </w:rPr>
              <w:instrText xml:space="preserve"> REF _Ref125361435 \w \h </w:instrText>
            </w:r>
            <w:r>
              <w:rPr>
                <w:rFonts w:eastAsia="Calibri" w:cs="Arial"/>
                <w:sz w:val="26"/>
                <w:szCs w:val="22"/>
                <w:lang w:val="ru-RU" w:eastAsia="en-US" w:bidi="ar-SA"/>
              </w:rPr>
              <w:fldChar w:fldCharType="separate"/>
            </w:r>
            <w:r>
              <w:rPr>
                <w:rFonts w:eastAsia="Calibri" w:cs="Arial"/>
                <w:sz w:val="26"/>
                <w:szCs w:val="22"/>
                <w:lang w:val="ru-RU" w:eastAsia="en-US" w:bidi="ar-SA"/>
              </w:rPr>
              <w:t xml:space="preserve">8.2</w:t>
            </w:r>
            <w:r>
              <w:rPr>
                <w:rFonts w:eastAsia="Calibri" w:cs="Arial"/>
                <w:sz w:val="26"/>
                <w:szCs w:val="22"/>
                <w:lang w:val="ru-RU" w:eastAsia="en-US" w:bidi="ar-SA"/>
              </w:rPr>
              <w:fldChar w:fldCharType="end"/>
            </w:r>
            <w:r>
              <w:rPr>
                <w:rFonts w:eastAsia="Calibri" w:cs="Arial"/>
                <w:sz w:val="26"/>
                <w:szCs w:val="22"/>
                <w:lang w:val="ru-RU" w:eastAsia="en-US" w:bidi="ar-SA"/>
              </w:rPr>
              <w:t xml:space="preserve"> – </w:t>
            </w:r>
            <w:r>
              <w:rPr>
                <w:rFonts w:eastAsia="Calibri" w:cs="Arial"/>
                <w:sz w:val="26"/>
                <w:szCs w:val="22"/>
                <w:lang w:val="ru-RU" w:eastAsia="en-US" w:bidi="ar-SA"/>
              </w:rPr>
              <w:fldChar w:fldCharType="begin"/>
            </w:r>
            <w:r>
              <w:rPr>
                <w:rFonts w:eastAsia="Calibri" w:cs="Arial"/>
                <w:sz w:val="26"/>
                <w:szCs w:val="22"/>
                <w:lang w:val="ru-RU" w:eastAsia="en-US" w:bidi="ar-SA"/>
              </w:rPr>
              <w:instrText xml:space="preserve"> REF _Ref125553242 \w \h </w:instrText>
            </w:r>
            <w:r>
              <w:rPr>
                <w:rFonts w:eastAsia="Calibri" w:cs="Arial"/>
                <w:sz w:val="26"/>
                <w:szCs w:val="22"/>
                <w:lang w:val="ru-RU" w:eastAsia="en-US" w:bidi="ar-SA"/>
              </w:rPr>
              <w:fldChar w:fldCharType="separate"/>
            </w:r>
            <w:r>
              <w:rPr>
                <w:rFonts w:eastAsia="Calibri" w:cs="Arial"/>
                <w:sz w:val="26"/>
                <w:szCs w:val="22"/>
                <w:lang w:val="ru-RU" w:eastAsia="en-US" w:bidi="ar-SA"/>
              </w:rPr>
              <w:t xml:space="preserve">8.4</w:t>
            </w:r>
            <w:r>
              <w:rPr>
                <w:rFonts w:eastAsia="Calibri" w:cs="Arial"/>
                <w:sz w:val="26"/>
                <w:szCs w:val="22"/>
                <w:lang w:val="ru-RU" w:eastAsia="en-US" w:bidi="ar-SA"/>
              </w:rPr>
              <w:fldChar w:fldCharType="end"/>
            </w:r>
            <w:r>
              <w:rPr>
                <w:rFonts w:eastAsia="Calibri" w:cs="Arial"/>
                <w:sz w:val="26"/>
                <w:szCs w:val="22"/>
                <w:lang w:val="ru-RU" w:eastAsia="en-US" w:bidi="ar-SA"/>
              </w:rPr>
              <w:t xml:space="preserve">, в отношении каждого члена Коллективного участника, подтверждающие его соответствие данным требованиям.</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r>
    </w:tbl>
    <w:p>
      <w:pPr>
        <w:pStyle w:val="1337"/>
        <w:spacing w:before="360" w:after="120"/>
      </w:pPr>
      <w:r/>
      <w:bookmarkStart w:id="346" w:name="_Toc230928876"/>
      <w:r/>
      <w:bookmarkStart w:id="347" w:name="_Ref125709973"/>
      <w:r/>
      <w:bookmarkStart w:id="348" w:name="_Ref125709777"/>
      <w:r/>
      <w:bookmarkStart w:id="349" w:name="_Ref125370209"/>
      <w:r/>
      <w:bookmarkStart w:id="350" w:name="_Ref125370180"/>
      <w:r/>
      <w:bookmarkStart w:id="351" w:name="_Ref125370173"/>
      <w:r/>
      <w:bookmarkStart w:id="352" w:name="_Ref125369117"/>
      <w:r/>
      <w:bookmarkStart w:id="353" w:name="_Ref125362031"/>
      <w:r/>
      <w:bookmarkStart w:id="354" w:name="_Ref125361823"/>
      <w:r>
        <w:t xml:space="preserve">Дополнительные требования к Генеральным подрядчикам</w:t>
      </w:r>
      <w:bookmarkEnd w:id="346"/>
      <w:r/>
      <w:bookmarkEnd w:id="347"/>
      <w:r/>
      <w:bookmarkEnd w:id="348"/>
      <w:r/>
      <w:bookmarkEnd w:id="349"/>
      <w:r/>
      <w:bookmarkEnd w:id="350"/>
      <w:r/>
      <w:bookmarkEnd w:id="351"/>
      <w:r/>
      <w:bookmarkEnd w:id="352"/>
      <w:r/>
      <w:bookmarkEnd w:id="353"/>
      <w:r/>
      <w:bookmarkEnd w:id="354"/>
      <w:r/>
      <w:r/>
    </w:p>
    <w:tbl>
      <w:tblPr>
        <w:tblStyle w:val="1505"/>
        <w:tblW w:w="15126" w:type="dxa"/>
        <w:tblInd w:w="0" w:type="dxa"/>
        <w:tblLayout w:type="fixed"/>
        <w:tblCellMar>
          <w:left w:w="57" w:type="dxa"/>
          <w:top w:w="0" w:type="dxa"/>
          <w:right w:w="57" w:type="dxa"/>
          <w:bottom w:w="0" w:type="dxa"/>
        </w:tblCellMar>
        <w:tblLook w:val="04A0" w:firstRow="1" w:lastRow="0" w:firstColumn="1" w:lastColumn="0" w:noHBand="0" w:noVBand="1"/>
      </w:tblPr>
      <w:tblGrid>
        <w:gridCol w:w="1128"/>
        <w:gridCol w:w="5671"/>
        <w:gridCol w:w="8327"/>
      </w:tblGrid>
      <w:tr>
        <w:tblPrEx/>
        <w:trPr/>
        <w:tc>
          <w:tcPr>
            <w:tcW w:w="1128" w:type="dxa"/>
            <w:textDirection w:val="lrTb"/>
            <w:noWrap w:val="false"/>
          </w:tcPr>
          <w:p>
            <w:pPr>
              <w:pStyle w:val="1342"/>
              <w:jc w:val="center"/>
              <w:keepLines w:val="0"/>
              <w:keepNext w:val="0"/>
              <w:spacing w:before="60" w:after="60" w:line="240" w:lineRule="auto"/>
              <w:widowControl w:val="off"/>
              <w:rPr>
                <w:rFonts w:ascii="Times New Roman" w:hAnsi="Times New Roman" w:eastAsia="Calibri" w:cs="Arial"/>
                <w:b/>
                <w:sz w:val="26"/>
                <w:szCs w:val="22"/>
                <w:lang w:val="ru-RU" w:eastAsia="en-US" w:bidi="ar-SA"/>
              </w:rPr>
            </w:pPr>
            <w:r>
              <w:rPr>
                <w:rFonts w:eastAsia="Calibri" w:cs="Arial"/>
                <w:b/>
                <w:sz w:val="26"/>
                <w:szCs w:val="22"/>
                <w:lang w:val="ru-RU" w:eastAsia="en-US" w:bidi="ar-SA"/>
              </w:rPr>
              <w:t xml:space="preserve">№</w:t>
            </w:r>
            <w:r>
              <w:rPr>
                <w:rFonts w:eastAsia="Calibri" w:cs="Arial"/>
                <w:b/>
                <w:sz w:val="26"/>
                <w:szCs w:val="22"/>
                <w:lang w:val="ru-RU" w:eastAsia="en-US" w:bidi="ar-SA"/>
              </w:rPr>
              <w:br/>
              <w:t xml:space="preserve">п/п</w:t>
            </w:r>
            <w:r>
              <w:rPr>
                <w:rFonts w:ascii="Times New Roman" w:hAnsi="Times New Roman" w:eastAsia="Calibri" w:cs="Arial"/>
                <w:b/>
                <w:sz w:val="26"/>
                <w:szCs w:val="22"/>
                <w:lang w:val="ru-RU" w:eastAsia="en-US" w:bidi="ar-SA"/>
              </w:rPr>
            </w:r>
            <w:r>
              <w:rPr>
                <w:rFonts w:ascii="Times New Roman" w:hAnsi="Times New Roman" w:eastAsia="Calibri" w:cs="Arial"/>
                <w:b/>
                <w:sz w:val="26"/>
                <w:szCs w:val="22"/>
                <w:lang w:val="ru-RU" w:eastAsia="en-US" w:bidi="ar-SA"/>
              </w:rPr>
            </w:r>
          </w:p>
        </w:tc>
        <w:tc>
          <w:tcPr>
            <w:tcW w:w="5671" w:type="dxa"/>
            <w:textDirection w:val="lrTb"/>
            <w:noWrap w:val="false"/>
          </w:tcPr>
          <w:p>
            <w:pPr>
              <w:pStyle w:val="1342"/>
              <w:jc w:val="center"/>
              <w:keepLines w:val="0"/>
              <w:keepNext w:val="0"/>
              <w:spacing w:before="60" w:after="60" w:line="240" w:lineRule="auto"/>
              <w:widowControl w:val="off"/>
              <w:rPr>
                <w:rFonts w:ascii="Times New Roman" w:hAnsi="Times New Roman" w:eastAsia="Calibri" w:cs="Arial"/>
                <w:b/>
                <w:sz w:val="26"/>
                <w:szCs w:val="22"/>
                <w:lang w:val="ru-RU" w:eastAsia="en-US" w:bidi="ar-SA"/>
              </w:rPr>
            </w:pPr>
            <w:r>
              <w:rPr>
                <w:rFonts w:eastAsia="Calibri" w:cs="Arial"/>
                <w:b/>
                <w:sz w:val="26"/>
                <w:szCs w:val="22"/>
                <w:lang w:val="ru-RU" w:eastAsia="en-US" w:bidi="ar-SA"/>
              </w:rPr>
              <w:t xml:space="preserve">Требования к Генеральному подрядчику</w:t>
            </w:r>
            <w:r>
              <w:rPr>
                <w:rFonts w:ascii="Times New Roman" w:hAnsi="Times New Roman" w:eastAsia="Calibri" w:cs="Arial"/>
                <w:b/>
                <w:sz w:val="26"/>
                <w:szCs w:val="22"/>
                <w:lang w:val="ru-RU" w:eastAsia="en-US" w:bidi="ar-SA"/>
              </w:rPr>
            </w:r>
            <w:r>
              <w:rPr>
                <w:rFonts w:ascii="Times New Roman" w:hAnsi="Times New Roman" w:eastAsia="Calibri" w:cs="Arial"/>
                <w:b/>
                <w:sz w:val="26"/>
                <w:szCs w:val="22"/>
                <w:lang w:val="ru-RU" w:eastAsia="en-US" w:bidi="ar-SA"/>
              </w:rPr>
            </w:r>
          </w:p>
        </w:tc>
        <w:tc>
          <w:tcPr>
            <w:tcW w:w="8327" w:type="dxa"/>
            <w:textDirection w:val="lrTb"/>
            <w:noWrap w:val="false"/>
          </w:tcPr>
          <w:p>
            <w:pPr>
              <w:pStyle w:val="1342"/>
              <w:jc w:val="center"/>
              <w:keepLines w:val="0"/>
              <w:keepNext w:val="0"/>
              <w:spacing w:before="60" w:after="60" w:line="240" w:lineRule="auto"/>
              <w:widowControl w:val="off"/>
              <w:rPr>
                <w:rFonts w:ascii="Times New Roman" w:hAnsi="Times New Roman" w:eastAsia="Calibri" w:cs="Arial"/>
                <w:b/>
                <w:sz w:val="26"/>
                <w:szCs w:val="22"/>
                <w:lang w:val="ru-RU" w:eastAsia="en-US" w:bidi="ar-SA"/>
              </w:rPr>
            </w:pPr>
            <w:r>
              <w:rPr>
                <w:rFonts w:eastAsia="Calibri" w:cs="Arial"/>
                <w:b/>
                <w:sz w:val="26"/>
                <w:szCs w:val="22"/>
                <w:lang w:val="ru-RU" w:eastAsia="en-US" w:bidi="ar-SA"/>
              </w:rPr>
              <w:t xml:space="preserve">Требования к документам, подтверждающим соответствие</w:t>
              <w:br/>
              <w:t xml:space="preserve">Генерального подрядчика установленным требованиям</w:t>
            </w:r>
            <w:r>
              <w:rPr>
                <w:rFonts w:ascii="Times New Roman" w:hAnsi="Times New Roman" w:eastAsia="Calibri" w:cs="Arial"/>
                <w:b/>
                <w:sz w:val="26"/>
                <w:szCs w:val="22"/>
                <w:lang w:val="ru-RU" w:eastAsia="en-US" w:bidi="ar-SA"/>
              </w:rPr>
            </w:r>
            <w:r>
              <w:rPr>
                <w:rFonts w:ascii="Times New Roman" w:hAnsi="Times New Roman" w:eastAsia="Calibri" w:cs="Arial"/>
                <w:b/>
                <w:sz w:val="26"/>
                <w:szCs w:val="22"/>
                <w:lang w:val="ru-RU" w:eastAsia="en-US" w:bidi="ar-SA"/>
              </w:rPr>
            </w:r>
          </w:p>
        </w:tc>
      </w:tr>
      <w:tr>
        <w:tblPrEx/>
        <w:trPr/>
        <w:tc>
          <w:tcPr>
            <w:tcW w:w="1128" w:type="dxa"/>
            <w:textDirection w:val="lrTb"/>
            <w:noWrap w:val="false"/>
          </w:tcPr>
          <w:p>
            <w:pPr>
              <w:pStyle w:val="1342"/>
              <w:numPr>
                <w:ilvl w:val="0"/>
                <w:numId w:val="5"/>
              </w:numPr>
              <w:ind w:left="284" w:firstLine="0"/>
              <w:jc w:val="center"/>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r>
            <w:bookmarkStart w:id="356" w:name="_Ref125370187"/>
            <w:r/>
            <w:bookmarkEnd w:id="356"/>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5671" w:type="dxa"/>
            <w:textDirection w:val="lrTb"/>
            <w:noWrap w:val="false"/>
          </w:tcPr>
          <w:p>
            <w:pPr>
              <w:pStyle w:val="1342"/>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8327" w:type="dxa"/>
            <w:textDirection w:val="lrTb"/>
            <w:noWrap w:val="false"/>
          </w:tcPr>
          <w:p>
            <w:pPr>
              <w:pStyle w:val="1342"/>
              <w:spacing w:before="60" w:after="60" w:line="240" w:lineRule="auto"/>
              <w:widowControl w:val="off"/>
            </w:pPr>
            <w:r>
              <w:rPr>
                <w:rFonts w:eastAsia="Calibri" w:cs="Arial"/>
                <w:sz w:val="26"/>
                <w:szCs w:val="22"/>
                <w:lang w:val="ru-RU" w:eastAsia="en-US" w:bidi="ar-SA"/>
              </w:rPr>
              <w:t xml:space="preserve">План распределения объемов поставки продукции (форма 11) (</w:t>
            </w:r>
            <w:hyperlink w:tooltip="#Прил04_ФормыЗаявки" w:anchor="Прил04_ФормыЗаявки" w:history="1">
              <w:r>
                <w:rPr>
                  <w:rStyle w:val="1311"/>
                  <w:rFonts w:eastAsia="Calibri" w:cs="Arial"/>
                  <w:sz w:val="26"/>
                  <w:szCs w:val="22"/>
                  <w:lang w:val="ru-RU" w:eastAsia="en-US" w:bidi="ar-SA"/>
                </w:rPr>
                <w:t xml:space="preserve">Приложение № 4</w:t>
              </w:r>
            </w:hyperlink>
            <w:r>
              <w:rPr>
                <w:rFonts w:eastAsia="Calibri" w:cs="Arial"/>
                <w:sz w:val="26"/>
                <w:szCs w:val="22"/>
                <w:lang w:val="ru-RU" w:eastAsia="en-US" w:bidi="ar-SA"/>
              </w:rPr>
              <w:t xml:space="preserve">) с указанием необходимой информации;</w:t>
            </w:r>
            <w:r/>
          </w:p>
        </w:tc>
      </w:tr>
      <w:tr>
        <w:tblPrEx/>
        <w:trPr/>
        <w:tc>
          <w:tcPr>
            <w:tcW w:w="1128" w:type="dxa"/>
            <w:textDirection w:val="lrTb"/>
            <w:noWrap w:val="false"/>
          </w:tcPr>
          <w:p>
            <w:pPr>
              <w:pStyle w:val="1342"/>
              <w:numPr>
                <w:ilvl w:val="0"/>
                <w:numId w:val="5"/>
              </w:numPr>
              <w:ind w:left="284" w:firstLine="0"/>
              <w:jc w:val="center"/>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r>
            <w:bookmarkStart w:id="358" w:name="_Ref125370199"/>
            <w:r/>
            <w:bookmarkEnd w:id="358"/>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5671" w:type="dxa"/>
            <w:textDirection w:val="lrTb"/>
            <w:noWrap w:val="false"/>
          </w:tcPr>
          <w:p>
            <w:pPr>
              <w:pStyle w:val="1342"/>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Генеральный подрядчик должен доказать, что каждый из привлекаемых им субподрядчиков:</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p>
            <w:pPr>
              <w:pStyle w:val="1342"/>
              <w:numPr>
                <w:ilvl w:val="0"/>
                <w:numId w:val="14"/>
              </w:numPr>
              <w:ind w:left="284" w:hanging="284"/>
              <w:spacing w:before="60" w:after="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осведомлен о привлечении его в качестве субподрядчика;</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p>
            <w:pPr>
              <w:pStyle w:val="1342"/>
              <w:numPr>
                <w:ilvl w:val="0"/>
                <w:numId w:val="14"/>
              </w:numPr>
              <w:ind w:left="284" w:hanging="284"/>
              <w:spacing w:before="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согласен с выделяемым ему перечнем, объемами, сроками и стоимостью поставки продукции:</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8327" w:type="dxa"/>
            <w:textDirection w:val="lrTb"/>
            <w:noWrap w:val="false"/>
          </w:tcPr>
          <w:p>
            <w:pPr>
              <w:pStyle w:val="1342"/>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Письмо </w:t>
            </w:r>
            <w:r>
              <w:rPr>
                <w:rFonts w:eastAsia="Calibri" w:cs="Arial"/>
                <w:sz w:val="26"/>
                <w:szCs w:val="22"/>
                <w:lang w:val="ru-RU" w:eastAsia="en-US" w:bidi="ar-SA"/>
              </w:rPr>
              <w:t xml:space="preserve">от имени каждого привлекаемого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 на него поставки продукции, а также сроков поставки продукции;</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r>
      <w:tr>
        <w:tblPrEx/>
        <w:trPr/>
        <w:tc>
          <w:tcPr>
            <w:tcW w:w="1128" w:type="dxa"/>
            <w:textDirection w:val="lrTb"/>
            <w:noWrap w:val="false"/>
          </w:tcPr>
          <w:p>
            <w:pPr>
              <w:pStyle w:val="1342"/>
              <w:numPr>
                <w:ilvl w:val="0"/>
                <w:numId w:val="5"/>
              </w:numPr>
              <w:ind w:left="284" w:firstLine="0"/>
              <w:jc w:val="center"/>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r>
            <w:bookmarkStart w:id="360" w:name="_Ref125370193"/>
            <w:r/>
            <w:bookmarkEnd w:id="360"/>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5671" w:type="dxa"/>
            <w:textDirection w:val="lrTb"/>
            <w:noWrap w:val="false"/>
          </w:tcPr>
          <w:p>
            <w:pPr>
              <w:pStyle w:val="1342"/>
              <w:spacing w:before="60" w:after="60" w:line="240" w:lineRule="auto"/>
              <w:widowControl w:val="off"/>
            </w:pPr>
            <w:r>
              <w:rPr>
                <w:rFonts w:eastAsia="Calibri" w:cs="Arial"/>
                <w:sz w:val="26"/>
                <w:szCs w:val="22"/>
                <w:lang w:val="ru-RU" w:eastAsia="en-US" w:bidi="ar-SA"/>
              </w:rPr>
              <w:t xml:space="preserve">Соответствие каждого субподрядчика установленным требованиям (с учетом пункта </w:t>
            </w:r>
            <w:r>
              <w:rPr>
                <w:rFonts w:eastAsia="Calibri" w:cs="Arial"/>
                <w:sz w:val="26"/>
                <w:szCs w:val="22"/>
                <w:lang w:val="ru-RU" w:eastAsia="en-US" w:bidi="ar-SA"/>
              </w:rPr>
              <w:fldChar w:fldCharType="begin"/>
            </w:r>
            <w:r>
              <w:rPr>
                <w:rFonts w:eastAsia="Calibri" w:cs="Arial"/>
                <w:sz w:val="26"/>
                <w:szCs w:val="22"/>
                <w:lang w:val="ru-RU" w:eastAsia="en-US" w:bidi="ar-SA"/>
              </w:rPr>
              <w:instrText xml:space="preserve"> REF _Ref125368863 \w \h </w:instrText>
            </w:r>
            <w:r>
              <w:rPr>
                <w:rFonts w:eastAsia="Calibri" w:cs="Arial"/>
                <w:sz w:val="26"/>
                <w:szCs w:val="22"/>
                <w:lang w:val="ru-RU" w:eastAsia="en-US" w:bidi="ar-SA"/>
              </w:rPr>
              <w:fldChar w:fldCharType="separate"/>
            </w:r>
            <w:r>
              <w:rPr>
                <w:rFonts w:eastAsia="Calibri" w:cs="Arial"/>
                <w:sz w:val="26"/>
                <w:szCs w:val="22"/>
                <w:lang w:val="ru-RU" w:eastAsia="en-US" w:bidi="ar-SA"/>
              </w:rPr>
              <w:fldChar w:fldCharType="end"/>
            </w:r>
            <w:r>
              <w:rPr>
                <w:rFonts w:eastAsia="Calibri" w:cs="Arial"/>
                <w:sz w:val="26"/>
                <w:szCs w:val="22"/>
                <w:lang w:val="ru-RU" w:eastAsia="en-US" w:bidi="ar-SA"/>
              </w:rPr>
              <w:t xml:space="preserve">) в том числе с учетом объема поставки продукции, который ему предполагается поручить в соответствии с Планом распределения объемов (форма 10) (</w:t>
            </w:r>
            <w:hyperlink w:tooltip="#Прил04_ФормыЗаявки" w:anchor="Прил04_ФормыЗаявки" w:history="1">
              <w:r>
                <w:rPr>
                  <w:rStyle w:val="1311"/>
                  <w:rFonts w:eastAsia="Calibri" w:cs="Arial"/>
                  <w:sz w:val="26"/>
                  <w:szCs w:val="22"/>
                  <w:lang w:val="ru-RU" w:eastAsia="en-US" w:bidi="ar-SA"/>
                </w:rPr>
                <w:t xml:space="preserve">Приложение № 4</w:t>
              </w:r>
            </w:hyperlink>
            <w:r>
              <w:rPr>
                <w:rFonts w:eastAsia="Calibri" w:cs="Arial"/>
                <w:sz w:val="26"/>
                <w:szCs w:val="22"/>
                <w:lang w:val="ru-RU" w:eastAsia="en-US" w:bidi="ar-SA"/>
              </w:rPr>
              <w:t xml:space="preserve">):</w:t>
            </w:r>
            <w:r/>
          </w:p>
        </w:tc>
        <w:tc>
          <w:tcPr>
            <w:tcW w:w="8327" w:type="dxa"/>
            <w:textDirection w:val="lrTb"/>
            <w:noWrap w:val="false"/>
          </w:tcPr>
          <w:p>
            <w:pPr>
              <w:pStyle w:val="1342"/>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Сведения и документы, аналогичные установленным в подразделах </w:t>
            </w:r>
            <w:r>
              <w:rPr>
                <w:rFonts w:eastAsia="Calibri" w:cs="Arial"/>
                <w:sz w:val="26"/>
                <w:szCs w:val="22"/>
                <w:lang w:val="ru-RU" w:eastAsia="en-US" w:bidi="ar-SA"/>
              </w:rPr>
              <w:fldChar w:fldCharType="begin"/>
            </w:r>
            <w:r>
              <w:rPr>
                <w:rFonts w:eastAsia="Calibri" w:cs="Arial"/>
                <w:sz w:val="26"/>
                <w:szCs w:val="22"/>
                <w:lang w:val="ru-RU" w:eastAsia="en-US" w:bidi="ar-SA"/>
              </w:rPr>
              <w:instrText xml:space="preserve"> REF _Ref125361435 \w \h </w:instrText>
            </w:r>
            <w:r>
              <w:rPr>
                <w:rFonts w:eastAsia="Calibri" w:cs="Arial"/>
                <w:sz w:val="26"/>
                <w:szCs w:val="22"/>
                <w:lang w:val="ru-RU" w:eastAsia="en-US" w:bidi="ar-SA"/>
              </w:rPr>
              <w:fldChar w:fldCharType="separate"/>
            </w:r>
            <w:r>
              <w:rPr>
                <w:rFonts w:eastAsia="Calibri" w:cs="Arial"/>
                <w:sz w:val="26"/>
                <w:szCs w:val="22"/>
                <w:lang w:val="ru-RU" w:eastAsia="en-US" w:bidi="ar-SA"/>
              </w:rPr>
              <w:t xml:space="preserve">8.2</w:t>
            </w:r>
            <w:r>
              <w:rPr>
                <w:rFonts w:eastAsia="Calibri" w:cs="Arial"/>
                <w:sz w:val="26"/>
                <w:szCs w:val="22"/>
                <w:lang w:val="ru-RU" w:eastAsia="en-US" w:bidi="ar-SA"/>
              </w:rPr>
              <w:fldChar w:fldCharType="end"/>
            </w:r>
            <w:r>
              <w:rPr>
                <w:rFonts w:eastAsia="Calibri" w:cs="Arial"/>
                <w:sz w:val="26"/>
                <w:szCs w:val="22"/>
                <w:lang w:val="ru-RU" w:eastAsia="en-US" w:bidi="ar-SA"/>
              </w:rPr>
              <w:t xml:space="preserve"> – </w:t>
            </w:r>
            <w:r>
              <w:rPr>
                <w:rFonts w:eastAsia="Calibri" w:cs="Arial"/>
                <w:sz w:val="26"/>
                <w:szCs w:val="22"/>
                <w:lang w:val="ru-RU" w:eastAsia="en-US" w:bidi="ar-SA"/>
              </w:rPr>
              <w:fldChar w:fldCharType="begin"/>
            </w:r>
            <w:r>
              <w:rPr>
                <w:rFonts w:eastAsia="Calibri" w:cs="Arial"/>
                <w:sz w:val="26"/>
                <w:szCs w:val="22"/>
                <w:lang w:val="ru-RU" w:eastAsia="en-US" w:bidi="ar-SA"/>
              </w:rPr>
              <w:instrText xml:space="preserve"> REF _Ref125553242 \w \h </w:instrText>
            </w:r>
            <w:r>
              <w:rPr>
                <w:rFonts w:eastAsia="Calibri" w:cs="Arial"/>
                <w:sz w:val="26"/>
                <w:szCs w:val="22"/>
                <w:lang w:val="ru-RU" w:eastAsia="en-US" w:bidi="ar-SA"/>
              </w:rPr>
              <w:fldChar w:fldCharType="separate"/>
            </w:r>
            <w:r>
              <w:rPr>
                <w:rFonts w:eastAsia="Calibri" w:cs="Arial"/>
                <w:sz w:val="26"/>
                <w:szCs w:val="22"/>
                <w:lang w:val="ru-RU" w:eastAsia="en-US" w:bidi="ar-SA"/>
              </w:rPr>
              <w:t xml:space="preserve">8.4</w:t>
            </w:r>
            <w:r>
              <w:rPr>
                <w:rFonts w:eastAsia="Calibri" w:cs="Arial"/>
                <w:sz w:val="26"/>
                <w:szCs w:val="22"/>
                <w:lang w:val="ru-RU" w:eastAsia="en-US" w:bidi="ar-SA"/>
              </w:rPr>
              <w:fldChar w:fldCharType="end"/>
            </w:r>
            <w:r>
              <w:rPr>
                <w:rFonts w:eastAsia="Calibri" w:cs="Arial"/>
                <w:sz w:val="26"/>
                <w:szCs w:val="22"/>
                <w:lang w:val="ru-RU" w:eastAsia="en-US" w:bidi="ar-SA"/>
              </w:rPr>
              <w:t xml:space="preserve">, в отношении каждого субподрядчика, подтверждающие его соответствие данным требованиям;</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r>
      <w:tr>
        <w:tblPrEx/>
        <w:trPr/>
        <w:tc>
          <w:tcPr>
            <w:tcW w:w="1128" w:type="dxa"/>
            <w:textDirection w:val="lrTb"/>
            <w:noWrap w:val="false"/>
          </w:tcPr>
          <w:p>
            <w:pPr>
              <w:pStyle w:val="1342"/>
              <w:numPr>
                <w:ilvl w:val="0"/>
                <w:numId w:val="5"/>
              </w:numPr>
              <w:ind w:left="284" w:firstLine="0"/>
              <w:jc w:val="center"/>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r>
            <w:bookmarkStart w:id="362" w:name="_Ref125553847"/>
            <w:r/>
            <w:bookmarkEnd w:id="362"/>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5671" w:type="dxa"/>
            <w:textDirection w:val="lrTb"/>
            <w:noWrap w:val="false"/>
          </w:tcPr>
          <w:p>
            <w:pPr>
              <w:pStyle w:val="1342"/>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Дополнительные требования не установлены.</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8327" w:type="dxa"/>
            <w:textDirection w:val="lrTb"/>
            <w:noWrap w:val="false"/>
          </w:tcPr>
          <w:p>
            <w:pPr>
              <w:pStyle w:val="1342"/>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Дополнительные требования не установлены.</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r>
    </w:tbl>
    <w:p>
      <w:pPr>
        <w:pStyle w:val="1337"/>
        <w:spacing w:before="360" w:after="120"/>
      </w:pPr>
      <w:r/>
      <w:bookmarkStart w:id="363" w:name="_Toc230928877"/>
      <w:r/>
      <w:bookmarkStart w:id="364" w:name="_Ref125710517"/>
      <w:r/>
      <w:bookmarkStart w:id="365" w:name="_Ref125710480"/>
      <w:r/>
      <w:bookmarkStart w:id="366" w:name="_Ref125710459"/>
      <w:r/>
      <w:bookmarkStart w:id="367" w:name="_Ref125553821"/>
      <w:r/>
      <w:bookmarkStart w:id="368" w:name="_Ref125553513"/>
      <w:r/>
      <w:bookmarkStart w:id="369" w:name="_Ref125550566"/>
      <w:r/>
      <w:bookmarkStart w:id="370" w:name="_Ref125550560"/>
      <w:r/>
      <w:bookmarkStart w:id="371" w:name="_Ref125550523"/>
      <w:r>
        <w:t xml:space="preserve">Дополнительные требования в отношении Генеральных подрядчиков с обязательным привлечением субподрядчиков (соисполнителей) из числа субъектов МСП</w:t>
      </w:r>
      <w:bookmarkEnd w:id="363"/>
      <w:r/>
      <w:bookmarkEnd w:id="364"/>
      <w:r/>
      <w:bookmarkEnd w:id="365"/>
      <w:r/>
      <w:bookmarkEnd w:id="366"/>
      <w:r/>
      <w:bookmarkEnd w:id="367"/>
      <w:r/>
      <w:bookmarkEnd w:id="368"/>
      <w:r/>
      <w:bookmarkEnd w:id="369"/>
      <w:r/>
      <w:bookmarkEnd w:id="370"/>
      <w:r/>
      <w:bookmarkEnd w:id="371"/>
      <w:r/>
      <w:r/>
    </w:p>
    <w:tbl>
      <w:tblPr>
        <w:tblStyle w:val="1505"/>
        <w:tblW w:w="15126" w:type="dxa"/>
        <w:tblInd w:w="0" w:type="dxa"/>
        <w:tblLayout w:type="fixed"/>
        <w:tblCellMar>
          <w:left w:w="57" w:type="dxa"/>
          <w:top w:w="0" w:type="dxa"/>
          <w:right w:w="57" w:type="dxa"/>
          <w:bottom w:w="0" w:type="dxa"/>
        </w:tblCellMar>
        <w:tblLook w:val="04A0" w:firstRow="1" w:lastRow="0" w:firstColumn="1" w:lastColumn="0" w:noHBand="0" w:noVBand="1"/>
      </w:tblPr>
      <w:tblGrid>
        <w:gridCol w:w="1128"/>
        <w:gridCol w:w="5671"/>
        <w:gridCol w:w="8327"/>
      </w:tblGrid>
      <w:tr>
        <w:tblPrEx/>
        <w:trPr/>
        <w:tc>
          <w:tcPr>
            <w:tcW w:w="1128" w:type="dxa"/>
            <w:textDirection w:val="lrTb"/>
            <w:noWrap w:val="false"/>
          </w:tcPr>
          <w:p>
            <w:pPr>
              <w:pStyle w:val="1342"/>
              <w:jc w:val="center"/>
              <w:keepLines w:val="0"/>
              <w:keepNext w:val="0"/>
              <w:spacing w:before="60" w:after="60" w:line="240" w:lineRule="auto"/>
              <w:widowControl w:val="off"/>
              <w:rPr>
                <w:rFonts w:ascii="Times New Roman" w:hAnsi="Times New Roman" w:eastAsia="Calibri" w:cs="Arial"/>
                <w:b/>
                <w:sz w:val="26"/>
                <w:szCs w:val="22"/>
                <w:lang w:val="ru-RU" w:eastAsia="en-US" w:bidi="ar-SA"/>
              </w:rPr>
            </w:pPr>
            <w:r>
              <w:rPr>
                <w:rFonts w:eastAsia="Calibri" w:cs="Arial"/>
                <w:b/>
                <w:sz w:val="26"/>
                <w:szCs w:val="22"/>
                <w:lang w:val="ru-RU" w:eastAsia="en-US" w:bidi="ar-SA"/>
              </w:rPr>
              <w:t xml:space="preserve">№</w:t>
            </w:r>
            <w:r>
              <w:rPr>
                <w:rFonts w:eastAsia="Calibri" w:cs="Arial"/>
                <w:b/>
                <w:sz w:val="26"/>
                <w:szCs w:val="22"/>
                <w:lang w:val="ru-RU" w:eastAsia="en-US" w:bidi="ar-SA"/>
              </w:rPr>
              <w:br/>
              <w:t xml:space="preserve">п/п</w:t>
            </w:r>
            <w:r>
              <w:rPr>
                <w:rFonts w:ascii="Times New Roman" w:hAnsi="Times New Roman" w:eastAsia="Calibri" w:cs="Arial"/>
                <w:b/>
                <w:sz w:val="26"/>
                <w:szCs w:val="22"/>
                <w:lang w:val="ru-RU" w:eastAsia="en-US" w:bidi="ar-SA"/>
              </w:rPr>
            </w:r>
            <w:r>
              <w:rPr>
                <w:rFonts w:ascii="Times New Roman" w:hAnsi="Times New Roman" w:eastAsia="Calibri" w:cs="Arial"/>
                <w:b/>
                <w:sz w:val="26"/>
                <w:szCs w:val="22"/>
                <w:lang w:val="ru-RU" w:eastAsia="en-US" w:bidi="ar-SA"/>
              </w:rPr>
            </w:r>
          </w:p>
        </w:tc>
        <w:tc>
          <w:tcPr>
            <w:tcW w:w="5671" w:type="dxa"/>
            <w:textDirection w:val="lrTb"/>
            <w:noWrap w:val="false"/>
          </w:tcPr>
          <w:p>
            <w:pPr>
              <w:pStyle w:val="1342"/>
              <w:jc w:val="center"/>
              <w:keepLines w:val="0"/>
              <w:keepNext w:val="0"/>
              <w:spacing w:before="60" w:after="60" w:line="240" w:lineRule="auto"/>
              <w:widowControl w:val="off"/>
              <w:rPr>
                <w:rFonts w:ascii="Times New Roman" w:hAnsi="Times New Roman" w:eastAsia="Calibri" w:cs="Arial"/>
                <w:b/>
                <w:sz w:val="26"/>
                <w:szCs w:val="22"/>
                <w:lang w:val="ru-RU" w:eastAsia="en-US" w:bidi="ar-SA"/>
              </w:rPr>
            </w:pPr>
            <w:r>
              <w:rPr>
                <w:rFonts w:eastAsia="Calibri" w:cs="Arial"/>
                <w:b/>
                <w:sz w:val="26"/>
                <w:szCs w:val="22"/>
                <w:lang w:val="ru-RU" w:eastAsia="en-US" w:bidi="ar-SA"/>
              </w:rPr>
              <w:t xml:space="preserve">Требования к Генеральному подрядчику</w:t>
            </w:r>
            <w:r>
              <w:rPr>
                <w:rFonts w:ascii="Times New Roman" w:hAnsi="Times New Roman" w:eastAsia="Calibri" w:cs="Arial"/>
                <w:b/>
                <w:sz w:val="26"/>
                <w:szCs w:val="22"/>
                <w:lang w:val="ru-RU" w:eastAsia="en-US" w:bidi="ar-SA"/>
              </w:rPr>
            </w:r>
            <w:r>
              <w:rPr>
                <w:rFonts w:ascii="Times New Roman" w:hAnsi="Times New Roman" w:eastAsia="Calibri" w:cs="Arial"/>
                <w:b/>
                <w:sz w:val="26"/>
                <w:szCs w:val="22"/>
                <w:lang w:val="ru-RU" w:eastAsia="en-US" w:bidi="ar-SA"/>
              </w:rPr>
            </w:r>
          </w:p>
        </w:tc>
        <w:tc>
          <w:tcPr>
            <w:tcW w:w="8327" w:type="dxa"/>
            <w:textDirection w:val="lrTb"/>
            <w:noWrap w:val="false"/>
          </w:tcPr>
          <w:p>
            <w:pPr>
              <w:pStyle w:val="1342"/>
              <w:jc w:val="center"/>
              <w:keepLines w:val="0"/>
              <w:keepNext w:val="0"/>
              <w:spacing w:before="60" w:after="60" w:line="240" w:lineRule="auto"/>
              <w:widowControl w:val="off"/>
              <w:rPr>
                <w:rFonts w:ascii="Times New Roman" w:hAnsi="Times New Roman" w:eastAsia="Calibri" w:cs="Arial"/>
                <w:b/>
                <w:sz w:val="26"/>
                <w:szCs w:val="22"/>
                <w:lang w:val="ru-RU" w:eastAsia="en-US" w:bidi="ar-SA"/>
              </w:rPr>
            </w:pPr>
            <w:r>
              <w:rPr>
                <w:rFonts w:eastAsia="Calibri" w:cs="Arial"/>
                <w:b/>
                <w:sz w:val="26"/>
                <w:szCs w:val="22"/>
                <w:lang w:val="ru-RU" w:eastAsia="en-US" w:bidi="ar-SA"/>
              </w:rPr>
              <w:t xml:space="preserve">Требования к документам, подтверждающим соответствие</w:t>
              <w:br/>
              <w:t xml:space="preserve">Генерального подрядчика установленным требованиям</w:t>
            </w:r>
            <w:r>
              <w:rPr>
                <w:rFonts w:ascii="Times New Roman" w:hAnsi="Times New Roman" w:eastAsia="Calibri" w:cs="Arial"/>
                <w:b/>
                <w:sz w:val="26"/>
                <w:szCs w:val="22"/>
                <w:lang w:val="ru-RU" w:eastAsia="en-US" w:bidi="ar-SA"/>
              </w:rPr>
            </w:r>
            <w:r>
              <w:rPr>
                <w:rFonts w:ascii="Times New Roman" w:hAnsi="Times New Roman" w:eastAsia="Calibri" w:cs="Arial"/>
                <w:b/>
                <w:sz w:val="26"/>
                <w:szCs w:val="22"/>
                <w:lang w:val="ru-RU" w:eastAsia="en-US" w:bidi="ar-SA"/>
              </w:rPr>
            </w:r>
          </w:p>
        </w:tc>
      </w:tr>
      <w:tr>
        <w:tblPrEx/>
        <w:trPr/>
        <w:tc>
          <w:tcPr>
            <w:tcW w:w="1128" w:type="dxa"/>
            <w:textDirection w:val="lrTb"/>
            <w:noWrap w:val="false"/>
          </w:tcPr>
          <w:p>
            <w:pPr>
              <w:pStyle w:val="1342"/>
              <w:numPr>
                <w:ilvl w:val="0"/>
                <w:numId w:val="11"/>
              </w:numPr>
              <w:ind w:left="284" w:firstLine="0"/>
              <w:jc w:val="center"/>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5671" w:type="dxa"/>
            <w:textDirection w:val="lrTb"/>
            <w:noWrap w:val="false"/>
          </w:tcPr>
          <w:p>
            <w:pPr>
              <w:pStyle w:val="1342"/>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Дополнительные требования не установлены.</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8327" w:type="dxa"/>
            <w:textDirection w:val="lrTb"/>
            <w:noWrap w:val="false"/>
          </w:tcPr>
          <w:p>
            <w:pPr>
              <w:pStyle w:val="1342"/>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Дополнительные требования не установлены.</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r>
    </w:tbl>
    <w:p>
      <w:pPr>
        <w:sectPr>
          <w:headerReference w:type="default" r:id="rId14"/>
          <w:headerReference w:type="first" r:id="rId15"/>
          <w:footerReference w:type="default" r:id="rId29"/>
          <w:footerReference w:type="first" r:id="rId30"/>
          <w:footnotePr>
            <w:numFmt w:val="decimal"/>
          </w:footnotePr>
          <w:endnotePr/>
          <w:type w:val="nextPage"/>
          <w:pgSz w:w="16838" w:h="11906" w:orient="landscape"/>
          <w:pgMar w:top="1134" w:right="851" w:bottom="850" w:left="851" w:header="567" w:footer="567" w:gutter="0"/>
          <w:cols w:num="1" w:sep="0" w:space="1701" w:equalWidth="1"/>
          <w:docGrid w:linePitch="360"/>
        </w:sectPr>
      </w:pPr>
      <w:r/>
      <w:r/>
    </w:p>
    <w:p>
      <w:pPr>
        <w:pStyle w:val="1336"/>
        <w:spacing w:before="0" w:after="0"/>
      </w:pPr>
      <w:r/>
      <w:bookmarkStart w:id="372" w:name="_Toc230928878"/>
      <w:r/>
      <w:bookmarkStart w:id="373" w:name="Прил04_ФормыЗаявки"/>
      <w:r/>
      <w:bookmarkEnd w:id="373"/>
      <w:r>
        <w:t xml:space="preserve">Приложение № 4 – Образцы форм документов, включаемых в состав заявки</w:t>
      </w:r>
      <w:bookmarkEnd w:id="372"/>
      <w:r/>
      <w:r/>
    </w:p>
    <w:p>
      <w:pPr>
        <w:pStyle w:val="1337"/>
        <w:spacing w:before="360" w:after="0"/>
      </w:pPr>
      <w:r/>
      <w:bookmarkStart w:id="374" w:name="_Toc230928879"/>
      <w:r>
        <w:t xml:space="preserve">Пояснения к Образцам форм документов, включаемых в состав заявки</w:t>
      </w:r>
      <w:bookmarkEnd w:id="374"/>
      <w:r/>
      <w:r/>
    </w:p>
    <w:p>
      <w:pPr>
        <w:pStyle w:val="1338"/>
        <w:spacing w:before="120" w:after="0"/>
      </w:pPr>
      <w:r>
        <w:t xml:space="preserve">Образцы форм документов, включаемых в состав заявки (с инструкциями </w:t>
      </w:r>
      <w:r>
        <w:t xml:space="preserve">по их оформлению), приведены в отдельном файле (предоставляются отдельным документом в составе Документации о закупке), являющимся Приложением № 4 к Документации о закупке. Участник при подготовке заявки обязан придерживаться установленных форм документов.</w:t>
      </w:r>
      <w:r/>
    </w:p>
    <w:p>
      <w:pPr>
        <w:pStyle w:val="1336"/>
        <w:spacing w:before="0" w:after="0"/>
      </w:pPr>
      <w:r/>
      <w:bookmarkStart w:id="375" w:name="_Toc230928880"/>
      <w:r/>
      <w:bookmarkStart w:id="376" w:name="Прил05_ФормыПобедителя"/>
      <w:r/>
      <w:bookmarkEnd w:id="376"/>
      <w:r>
        <w:t xml:space="preserve">Приложение № 5 – Образцы форм документов, предоставляемых Победителем</w:t>
      </w:r>
      <w:bookmarkEnd w:id="375"/>
      <w:r/>
      <w:r/>
    </w:p>
    <w:p>
      <w:pPr>
        <w:pStyle w:val="1337"/>
        <w:spacing w:before="360" w:after="0"/>
      </w:pPr>
      <w:r/>
      <w:bookmarkStart w:id="377" w:name="_Toc230928881"/>
      <w:r>
        <w:t xml:space="preserve">Пояснения к Образцам форм документов, предоставляемых Победителем</w:t>
      </w:r>
      <w:bookmarkEnd w:id="377"/>
      <w:r/>
      <w:r/>
    </w:p>
    <w:p>
      <w:pPr>
        <w:pStyle w:val="1338"/>
        <w:spacing w:before="120" w:after="0"/>
      </w:pPr>
      <w:r>
        <w:t xml:space="preserve">Образцы форм документов, предоставляемых Победител</w:t>
      </w:r>
      <w:r>
        <w:t xml:space="preserve">ем (или Единственным участником, в случае признания закупки несостоявшейся и принятия решения о заключении договора с ее Единственным участником), а также дополнительные пояснения по их предоставлению и инструкции по их оформлению, приведены в подразделах </w:t>
      </w:r>
      <w:r>
        <w:fldChar w:fldCharType="begin"/>
      </w:r>
      <w:r>
        <w:instrText xml:space="preserve"> REF _Ref130395470 \r \h </w:instrText>
      </w:r>
      <w:r>
        <w:fldChar w:fldCharType="separate"/>
      </w:r>
      <w:r>
        <w:t xml:space="preserve">10.2</w:t>
      </w:r>
      <w:r>
        <w:fldChar w:fldCharType="end"/>
      </w:r>
      <w:r>
        <w:t xml:space="preserve">, </w:t>
      </w:r>
      <w:r>
        <w:fldChar w:fldCharType="begin"/>
      </w:r>
      <w:r>
        <w:instrText xml:space="preserve"> REF _Ref130395475 \r \h </w:instrText>
      </w:r>
      <w:r>
        <w:fldChar w:fldCharType="separate"/>
      </w:r>
      <w:r>
        <w:t xml:space="preserve">10.3</w:t>
      </w:r>
      <w:r>
        <w:fldChar w:fldCharType="end"/>
      </w:r>
      <w:r>
        <w:t xml:space="preserve">.</w:t>
      </w:r>
      <w:r/>
    </w:p>
    <w:p>
      <w:pPr>
        <w:pStyle w:val="1337"/>
        <w:spacing w:before="360" w:after="0"/>
      </w:pPr>
      <w:r/>
      <w:bookmarkStart w:id="378" w:name="_Toc230928882"/>
      <w:r/>
      <w:bookmarkStart w:id="379" w:name="_Ref130395470"/>
      <w:r>
        <w:t xml:space="preserve">Форма справки «Сведения о цепочке собственников, включая бенефициаров (в том числе конечных)»</w:t>
      </w:r>
      <w:bookmarkEnd w:id="378"/>
      <w:r/>
      <w:bookmarkEnd w:id="379"/>
      <w:r/>
      <w:r/>
    </w:p>
    <w:p>
      <w:pPr>
        <w:pStyle w:val="1338"/>
        <w:spacing w:before="120" w:after="0"/>
      </w:pPr>
      <w:r>
        <w:t xml:space="preserve">Справка «Сведения о цепочке собственников, включая бенефициаров (в том числе конечных)» предоставляется Победителем закупки (поставщиком).</w:t>
      </w:r>
      <w:r/>
    </w:p>
    <w:p>
      <w:pPr>
        <w:pStyle w:val="1338"/>
        <w:spacing w:before="0" w:after="0"/>
      </w:pPr>
      <w:r>
        <w:t xml:space="preserve">Форма справки «Сведения о цепочке собственников, включая бенефициаров (в том числе конечных)» </w:t>
      </w:r>
      <w:r>
        <w:rPr>
          <w:lang w:val="en-US"/>
        </w:rPr>
        <w:t xml:space="preserve">c</w:t>
      </w:r>
      <w:r>
        <w:t xml:space="preserve"> приложением 1 «Перечень подтверждающих документов» и приложением 2 «Согласие на обработку и передачу персональных и иных охраняемых законом данных» приведена в отдельном файле в формате </w:t>
      </w:r>
      <w:r>
        <w:rPr>
          <w:lang w:val="en-US"/>
        </w:rPr>
        <w:t xml:space="preserve">Microsoft</w:t>
      </w:r>
      <w:r>
        <w:t xml:space="preserve"> </w:t>
      </w:r>
      <w:r>
        <w:rPr>
          <w:lang w:val="en-US"/>
        </w:rPr>
        <w:t xml:space="preserve">Word</w:t>
      </w:r>
      <w:r>
        <w:t xml:space="preserve">:</w:t>
      </w:r>
      <w:r/>
    </w:p>
    <w:p>
      <w:pPr>
        <w:pStyle w:val="1342"/>
        <w:jc w:val="center"/>
      </w:pPr>
      <w:r/>
      <w:bookmarkStart w:id="380" w:name="_MON_1817895658"/>
      <w:r/>
      <w:bookmarkEnd w:id="380"/>
      <w:r/>
      <w:r/>
    </w:p>
    <w:p>
      <w:pPr>
        <w:pStyle w:val="1337"/>
        <w:spacing w:before="360" w:after="0"/>
      </w:pPr>
      <w:r/>
      <w:bookmarkStart w:id="381" w:name="_Toc230928883"/>
      <w:r/>
      <w:bookmarkStart w:id="382" w:name="_Ref130395475"/>
      <w:r>
        <w:t xml:space="preserve">Форма «Заверение об обстоятельствах»</w:t>
      </w:r>
      <w:bookmarkEnd w:id="381"/>
      <w:r/>
      <w:bookmarkEnd w:id="382"/>
      <w:r/>
      <w:r/>
    </w:p>
    <w:p>
      <w:pPr>
        <w:pStyle w:val="1338"/>
        <w:spacing w:before="120" w:after="0"/>
      </w:pPr>
      <w:r>
        <w:rPr>
          <w:rFonts w:eastAsia="Calibri" w:cs="Arial" w:eastAsiaTheme="minorHAnsi" w:cstheme="minorBidi"/>
          <w:color w:val="000000" w:themeColor="text1"/>
          <w:shd w:val="clear" w:color="auto" w:fill="auto"/>
        </w:rPr>
        <w:t xml:space="preserve">Форма Заверения об обстоятельствах предоставляется Победителем закупки (поставщиком) только при заключении договоров стоимостью свыше 100 000</w:t>
      </w:r>
      <w:r>
        <w:rPr>
          <w:rFonts w:eastAsia="Calibri" w:cs="Arial" w:eastAsiaTheme="minorHAnsi" w:cstheme="minorBidi"/>
          <w:color w:val="000000" w:themeColor="text1"/>
          <w:shd w:val="clear" w:color="auto" w:fill="auto"/>
          <w:lang w:val="en-US"/>
        </w:rPr>
        <w:t xml:space="preserve"> </w:t>
      </w:r>
      <w:r>
        <w:rPr>
          <w:rFonts w:eastAsia="Calibri" w:cs="Arial" w:eastAsiaTheme="minorHAnsi" w:cstheme="minorBidi"/>
          <w:color w:val="000000" w:themeColor="text1"/>
          <w:shd w:val="clear" w:color="auto" w:fill="auto"/>
        </w:rPr>
        <w:t xml:space="preserve">000 (Ста миллионов) рублей </w:t>
      </w:r>
      <w:r>
        <w:rPr>
          <w:color w:val="000000" w:themeColor="text1"/>
        </w:rPr>
        <w:t xml:space="preserve">либо договоров (бе</w:t>
      </w:r>
      <w:r>
        <w:t xml:space="preserve">з ограничения по сумме), положения которых не содержат аналогичных заверений об обстоятельствах, и предоставляется Заказчику в срок не позднее 3</w:t>
      </w:r>
      <w:r>
        <w:rPr>
          <w:lang w:val="en-US"/>
        </w:rPr>
        <w:t xml:space="preserve"> </w:t>
      </w:r>
      <w:r>
        <w:t xml:space="preserve">(трех) рабочих дней с даты официального размещения Организатором итогового протокола по результатам закупки.</w:t>
      </w:r>
      <w:r/>
    </w:p>
    <w:p>
      <w:pPr>
        <w:pStyle w:val="1338"/>
        <w:spacing w:before="0" w:after="0"/>
      </w:pPr>
      <w:r>
        <w:t xml:space="preserve">Победитель закупки (поставщик) должен выбрать соответствующий ему вариант Заверения об обстоятельствах, исходя из необходимости получения согласий орг</w:t>
      </w:r>
      <w:r>
        <w:t xml:space="preserve">анов управления / одобрения сделки органами управления Поставщика в соответствии с законодательством, уставом, внутренними документами и отдельными решениями органов управления Поставщика, для последующего заключения Договора по предмету настоящей закупки.</w:t>
      </w:r>
      <w:r/>
    </w:p>
    <w:p>
      <w:pPr>
        <w:pStyle w:val="1338"/>
        <w:spacing w:before="0" w:after="0"/>
      </w:pPr>
      <w:r>
        <w:t xml:space="preserve">Заверение об обстоятельствах следует оформить на официальном бланке Победителя закупки (поставщика) (с указанием даты и</w:t>
      </w:r>
      <w:r>
        <w:t xml:space="preserve"> номера в соответствии с принятыми у него правилами документооборота) и заверить подписью единоличного исполнительного органа Победителя закупки (поставщика) (или иным уполномоченным лицом на основании доверенности), а также скрепить печатью (при наличии).</w:t>
      </w:r>
      <w:r/>
    </w:p>
    <w:p>
      <w:pPr>
        <w:pStyle w:val="1338"/>
        <w:keepNext/>
        <w:spacing w:before="0" w:after="0"/>
      </w:pPr>
      <w:r>
        <w:t xml:space="preserve">Форма «Заверение об обстоятельствах» приведена в отдельном файле в формате </w:t>
      </w:r>
      <w:r>
        <w:rPr>
          <w:lang w:val="en-US"/>
        </w:rPr>
        <w:t xml:space="preserve">Microsoft</w:t>
      </w:r>
      <w:r>
        <w:t xml:space="preserve"> </w:t>
      </w:r>
      <w:r>
        <w:rPr>
          <w:lang w:val="en-US"/>
        </w:rPr>
        <w:t xml:space="preserve">Word</w:t>
      </w:r>
      <w:r>
        <w:t xml:space="preserve">:</w:t>
      </w:r>
      <w:r/>
    </w:p>
    <w:p>
      <w:pPr>
        <w:pStyle w:val="1342"/>
        <w:jc w:val="center"/>
        <w:spacing w:before="120" w:after="120"/>
      </w:pPr>
      <w:r/>
      <w:bookmarkStart w:id="383" w:name="_MON_1741074184"/>
      <w:r/>
      <w:bookmarkEnd w:id="383"/>
      <w:r/>
      <w:r/>
    </w:p>
    <w:p>
      <w:pPr>
        <w:pStyle w:val="1336"/>
        <w:spacing w:before="0" w:after="0"/>
      </w:pPr>
      <w:r/>
      <w:bookmarkStart w:id="384" w:name="_Ref125362900"/>
      <w:r/>
      <w:bookmarkStart w:id="385" w:name="_Ref125362865"/>
      <w:r/>
      <w:bookmarkStart w:id="386" w:name="_Toc230928884"/>
      <w:r/>
      <w:bookmarkStart w:id="387" w:name="Прил06_СоставЗаявки"/>
      <w:r/>
      <w:bookmarkEnd w:id="387"/>
      <w:r>
        <w:t xml:space="preserve">Приложение № 6 – Состав заявки</w:t>
      </w:r>
      <w:bookmarkEnd w:id="384"/>
      <w:r/>
      <w:bookmarkEnd w:id="385"/>
      <w:r/>
      <w:bookmarkEnd w:id="386"/>
      <w:r/>
      <w:r/>
    </w:p>
    <w:p>
      <w:pPr>
        <w:pStyle w:val="1337"/>
        <w:spacing w:before="360" w:after="0"/>
      </w:pPr>
      <w:r/>
      <w:bookmarkStart w:id="388" w:name="_Toc230928885"/>
      <w:r>
        <w:t xml:space="preserve">Состав заявки</w:t>
      </w:r>
      <w:bookmarkEnd w:id="388"/>
      <w:r/>
      <w:r/>
    </w:p>
    <w:p>
      <w:pPr>
        <w:pStyle w:val="1338"/>
        <w:spacing w:before="120" w:after="120"/>
      </w:pPr>
      <w:r>
        <w:t xml:space="preserve">Заявка на участие в закупке должна содержать следующий комплект документов (по установленным формам и в соответствии с инструкциями, приведенными в </w:t>
      </w:r>
      <w:hyperlink w:tooltip="#Прил04_ФормыЗаявки" w:anchor="Прил04_ФормыЗаявки" w:history="1">
        <w:r>
          <w:rPr>
            <w:rStyle w:val="1311"/>
          </w:rPr>
          <w:t xml:space="preserve">Приложении № 4</w:t>
        </w:r>
      </w:hyperlink>
      <w:r>
        <w:t xml:space="preserve">):</w:t>
      </w:r>
      <w:r/>
    </w:p>
    <w:tbl>
      <w:tblPr>
        <w:tblStyle w:val="1505"/>
        <w:tblW w:w="8783" w:type="dxa"/>
        <w:tblInd w:w="1129" w:type="dxa"/>
        <w:tblLayout w:type="fixed"/>
        <w:tblCellMar>
          <w:left w:w="57" w:type="dxa"/>
          <w:top w:w="0" w:type="dxa"/>
          <w:right w:w="57" w:type="dxa"/>
          <w:bottom w:w="0" w:type="dxa"/>
        </w:tblCellMar>
        <w:tblLook w:val="04A0" w:firstRow="1" w:lastRow="0" w:firstColumn="1" w:lastColumn="0" w:noHBand="0" w:noVBand="1"/>
      </w:tblPr>
      <w:tblGrid>
        <w:gridCol w:w="707"/>
        <w:gridCol w:w="8075"/>
      </w:tblGrid>
      <w:tr>
        <w:tblPrEx/>
        <w:trPr/>
        <w:tc>
          <w:tcPr>
            <w:tcW w:w="707" w:type="dxa"/>
            <w:textDirection w:val="lrTb"/>
            <w:noWrap w:val="false"/>
          </w:tcPr>
          <w:p>
            <w:pPr>
              <w:pStyle w:val="1342"/>
              <w:jc w:val="center"/>
              <w:keepLines w:val="0"/>
              <w:keepNext/>
              <w:spacing w:before="60" w:after="60" w:line="240" w:lineRule="auto"/>
              <w:widowControl w:val="off"/>
              <w:rPr>
                <w:rFonts w:ascii="Times New Roman" w:hAnsi="Times New Roman" w:eastAsia="Calibri" w:cs="Arial"/>
                <w:b/>
                <w:sz w:val="26"/>
                <w:szCs w:val="22"/>
                <w:lang w:val="ru-RU" w:eastAsia="en-US" w:bidi="ar-SA"/>
              </w:rPr>
            </w:pPr>
            <w:r>
              <w:rPr>
                <w:rFonts w:eastAsia="Calibri" w:cs="Arial"/>
                <w:b/>
                <w:sz w:val="26"/>
                <w:szCs w:val="22"/>
                <w:lang w:val="ru-RU" w:eastAsia="en-US" w:bidi="ar-SA"/>
              </w:rPr>
              <w:t xml:space="preserve">№</w:t>
            </w:r>
            <w:r>
              <w:rPr>
                <w:rFonts w:eastAsia="Calibri" w:cs="Arial"/>
                <w:b/>
                <w:sz w:val="26"/>
                <w:szCs w:val="22"/>
                <w:lang w:val="ru-RU" w:eastAsia="en-US" w:bidi="ar-SA"/>
              </w:rPr>
              <w:br/>
              <w:t xml:space="preserve">п/п</w:t>
            </w:r>
            <w:r>
              <w:rPr>
                <w:rFonts w:ascii="Times New Roman" w:hAnsi="Times New Roman" w:eastAsia="Calibri" w:cs="Arial"/>
                <w:b/>
                <w:sz w:val="26"/>
                <w:szCs w:val="22"/>
                <w:lang w:val="ru-RU" w:eastAsia="en-US" w:bidi="ar-SA"/>
              </w:rPr>
            </w:r>
            <w:r>
              <w:rPr>
                <w:rFonts w:ascii="Times New Roman" w:hAnsi="Times New Roman" w:eastAsia="Calibri" w:cs="Arial"/>
                <w:b/>
                <w:sz w:val="26"/>
                <w:szCs w:val="22"/>
                <w:lang w:val="ru-RU" w:eastAsia="en-US" w:bidi="ar-SA"/>
              </w:rPr>
            </w:r>
          </w:p>
        </w:tc>
        <w:tc>
          <w:tcPr>
            <w:tcW w:w="8075" w:type="dxa"/>
            <w:textDirection w:val="lrTb"/>
            <w:noWrap w:val="false"/>
          </w:tcPr>
          <w:p>
            <w:pPr>
              <w:pStyle w:val="1342"/>
              <w:jc w:val="center"/>
              <w:keepLines w:val="0"/>
              <w:keepNext/>
              <w:spacing w:before="60" w:after="60" w:line="240" w:lineRule="auto"/>
              <w:widowControl w:val="off"/>
              <w:rPr>
                <w:rFonts w:ascii="Times New Roman" w:hAnsi="Times New Roman" w:eastAsia="Calibri" w:cs="Arial"/>
                <w:b/>
                <w:sz w:val="26"/>
                <w:szCs w:val="22"/>
                <w:lang w:val="ru-RU" w:eastAsia="en-US" w:bidi="ar-SA"/>
              </w:rPr>
            </w:pPr>
            <w:r>
              <w:rPr>
                <w:rFonts w:eastAsia="Calibri" w:cs="Arial"/>
                <w:b/>
                <w:sz w:val="26"/>
                <w:szCs w:val="22"/>
                <w:lang w:val="ru-RU" w:eastAsia="en-US" w:bidi="ar-SA"/>
              </w:rPr>
              <w:t xml:space="preserve">Наименование документа</w:t>
            </w:r>
            <w:r>
              <w:rPr>
                <w:rFonts w:ascii="Times New Roman" w:hAnsi="Times New Roman" w:eastAsia="Calibri" w:cs="Arial"/>
                <w:b/>
                <w:sz w:val="26"/>
                <w:szCs w:val="22"/>
                <w:lang w:val="ru-RU" w:eastAsia="en-US" w:bidi="ar-SA"/>
              </w:rPr>
            </w:r>
            <w:r>
              <w:rPr>
                <w:rFonts w:ascii="Times New Roman" w:hAnsi="Times New Roman" w:eastAsia="Calibri" w:cs="Arial"/>
                <w:b/>
                <w:sz w:val="26"/>
                <w:szCs w:val="22"/>
                <w:lang w:val="ru-RU" w:eastAsia="en-US" w:bidi="ar-SA"/>
              </w:rPr>
            </w:r>
          </w:p>
        </w:tc>
      </w:tr>
      <w:tr>
        <w:tblPrEx/>
        <w:trPr/>
        <w:tc>
          <w:tcPr>
            <w:tcW w:w="707" w:type="dxa"/>
            <w:textDirection w:val="lrTb"/>
            <w:noWrap w:val="false"/>
          </w:tcPr>
          <w:p>
            <w:pPr>
              <w:pStyle w:val="1342"/>
              <w:numPr>
                <w:ilvl w:val="0"/>
                <w:numId w:val="6"/>
              </w:numPr>
              <w:ind w:left="170" w:firstLine="0"/>
              <w:jc w:val="center"/>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8075" w:type="dxa"/>
            <w:textDirection w:val="lrTb"/>
            <w:noWrap w:val="false"/>
          </w:tcPr>
          <w:p>
            <w:pPr>
              <w:pStyle w:val="1342"/>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Опись документов (форма 1) – носит рекомендательный характер и не обязательна к предоставлению в составе заявки;</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r>
      <w:tr>
        <w:tblPrEx/>
        <w:trPr/>
        <w:tc>
          <w:tcPr>
            <w:tcW w:w="707" w:type="dxa"/>
            <w:textDirection w:val="lrTb"/>
            <w:noWrap w:val="false"/>
          </w:tcPr>
          <w:p>
            <w:pPr>
              <w:pStyle w:val="1342"/>
              <w:numPr>
                <w:ilvl w:val="0"/>
                <w:numId w:val="6"/>
              </w:numPr>
              <w:ind w:left="170" w:firstLine="0"/>
              <w:jc w:val="center"/>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8075" w:type="dxa"/>
            <w:textDirection w:val="lrTb"/>
            <w:noWrap w:val="false"/>
          </w:tcPr>
          <w:p>
            <w:pPr>
              <w:pStyle w:val="1342"/>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Письмо о подаче оферты (форма 2);</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r>
      <w:tr>
        <w:tblPrEx/>
        <w:trPr/>
        <w:tc>
          <w:tcPr>
            <w:tcW w:w="707" w:type="dxa"/>
            <w:textDirection w:val="lrTb"/>
            <w:noWrap w:val="false"/>
          </w:tcPr>
          <w:p>
            <w:pPr>
              <w:pStyle w:val="1342"/>
              <w:numPr>
                <w:ilvl w:val="0"/>
                <w:numId w:val="6"/>
              </w:numPr>
              <w:ind w:left="170" w:firstLine="0"/>
              <w:jc w:val="center"/>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8075" w:type="dxa"/>
            <w:textDirection w:val="lrTb"/>
            <w:noWrap w:val="false"/>
          </w:tcPr>
          <w:p>
            <w:pPr>
              <w:pStyle w:val="1342"/>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Копия банковской гарантии – предоставляется при необходимости и в случае отсутствия внесенных Участником денежных средств на индивидуальный счет, открытый Участнику Оператором ЭП в соответствии с Регламентом ЭП;</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r>
      <w:tr>
        <w:tblPrEx/>
        <w:trPr/>
        <w:tc>
          <w:tcPr>
            <w:tcW w:w="707" w:type="dxa"/>
            <w:textDirection w:val="lrTb"/>
            <w:noWrap w:val="false"/>
          </w:tcPr>
          <w:p>
            <w:pPr>
              <w:pStyle w:val="1342"/>
              <w:numPr>
                <w:ilvl w:val="0"/>
                <w:numId w:val="6"/>
              </w:numPr>
              <w:ind w:left="170" w:firstLine="0"/>
              <w:jc w:val="center"/>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8075" w:type="dxa"/>
            <w:textDirection w:val="lrTb"/>
            <w:noWrap w:val="false"/>
          </w:tcPr>
          <w:p>
            <w:pPr>
              <w:pStyle w:val="1342"/>
              <w:spacing w:before="60" w:after="60" w:line="240" w:lineRule="auto"/>
              <w:widowControl w:val="off"/>
            </w:pPr>
            <w:r>
              <w:rPr>
                <w:rFonts w:eastAsia="Calibri" w:cs="Arial"/>
                <w:sz w:val="26"/>
                <w:szCs w:val="22"/>
                <w:lang w:val="ru-RU" w:eastAsia="en-US" w:bidi="ar-SA"/>
              </w:rPr>
              <w:t xml:space="preserve">Коммерческое предложение (включая Структуру НМЦ) (форма 3); также дополнительно предоставляется подтверждающая документация, составленная в соответствии с </w:t>
            </w:r>
            <w:hyperlink w:tooltip="#Прил01_ТехТребования" w:anchor="Прил01_ТехТребования" w:history="1">
              <w:r>
                <w:rPr>
                  <w:rStyle w:val="1311"/>
                  <w:rFonts w:eastAsia="Calibri" w:cs="Arial"/>
                  <w:sz w:val="26"/>
                  <w:szCs w:val="22"/>
                  <w:lang w:val="ru-RU" w:eastAsia="en-US" w:bidi="ar-SA"/>
                </w:rPr>
                <w:t xml:space="preserve">Техническими требованиями (Приложение № 1)</w:t>
              </w:r>
            </w:hyperlink>
            <w:r>
              <w:rPr>
                <w:rFonts w:eastAsia="Calibri" w:cs="Arial"/>
                <w:sz w:val="26"/>
                <w:szCs w:val="22"/>
                <w:lang w:val="ru-RU" w:eastAsia="en-US" w:bidi="ar-SA"/>
              </w:rPr>
              <w:t xml:space="preserve"> – только если в Технических требованиях установлены требования к документации по ценообразованию (подраздел «Требования к документации по ценообразованию на этапе закупки») либо аналогичные по смыслу;</w:t>
            </w:r>
            <w:r/>
          </w:p>
        </w:tc>
      </w:tr>
      <w:tr>
        <w:tblPrEx/>
        <w:trPr/>
        <w:tc>
          <w:tcPr>
            <w:tcW w:w="707" w:type="dxa"/>
            <w:textDirection w:val="lrTb"/>
            <w:noWrap w:val="false"/>
          </w:tcPr>
          <w:p>
            <w:pPr>
              <w:pStyle w:val="1342"/>
              <w:numPr>
                <w:ilvl w:val="0"/>
                <w:numId w:val="6"/>
              </w:numPr>
              <w:ind w:left="170" w:firstLine="0"/>
              <w:jc w:val="center"/>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8075" w:type="dxa"/>
            <w:textDirection w:val="lrTb"/>
            <w:noWrap w:val="false"/>
          </w:tcPr>
          <w:p>
            <w:pPr>
              <w:pStyle w:val="1342"/>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Техническое предложение (форма 4);</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r>
      <w:tr>
        <w:tblPrEx/>
        <w:trPr/>
        <w:tc>
          <w:tcPr>
            <w:tcW w:w="707" w:type="dxa"/>
            <w:textDirection w:val="lrTb"/>
            <w:noWrap w:val="false"/>
          </w:tcPr>
          <w:p>
            <w:pPr>
              <w:pStyle w:val="1342"/>
              <w:numPr>
                <w:ilvl w:val="0"/>
                <w:numId w:val="6"/>
              </w:numPr>
              <w:ind w:left="170" w:firstLine="0"/>
              <w:jc w:val="center"/>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8075" w:type="dxa"/>
            <w:textDirection w:val="lrTb"/>
            <w:noWrap w:val="false"/>
          </w:tcPr>
          <w:p>
            <w:pPr>
              <w:pStyle w:val="1342"/>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Анкета Участника (форма 5);</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r>
      <w:tr>
        <w:tblPrEx/>
        <w:trPr/>
        <w:tc>
          <w:tcPr>
            <w:tcW w:w="707" w:type="dxa"/>
            <w:textDirection w:val="lrTb"/>
            <w:noWrap w:val="false"/>
          </w:tcPr>
          <w:p>
            <w:pPr>
              <w:pStyle w:val="1342"/>
              <w:numPr>
                <w:ilvl w:val="0"/>
                <w:numId w:val="6"/>
              </w:numPr>
              <w:ind w:left="170" w:firstLine="0"/>
              <w:jc w:val="center"/>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r>
            <w:bookmarkStart w:id="390" w:name="_Ref130389408"/>
            <w:r/>
            <w:bookmarkEnd w:id="390"/>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8075" w:type="dxa"/>
            <w:textDirection w:val="lrTb"/>
            <w:noWrap w:val="false"/>
          </w:tcPr>
          <w:p>
            <w:pPr>
              <w:pStyle w:val="1342"/>
              <w:spacing w:before="60" w:after="60" w:line="240" w:lineRule="auto"/>
              <w:widowControl w:val="off"/>
            </w:pPr>
            <w:r>
              <w:rPr>
                <w:rFonts w:eastAsia="Calibri" w:cs="Arial"/>
                <w:color w:val="000000" w:themeColor="text1"/>
                <w:sz w:val="26"/>
                <w:szCs w:val="22"/>
                <w:lang w:val="ru-RU" w:eastAsia="en-US" w:bidi="ar-SA"/>
              </w:rPr>
              <w:t xml:space="preserve">Справка об опыте Участника (форма 6), </w:t>
            </w:r>
            <w:r>
              <w:rPr>
                <w:rFonts w:eastAsia="Calibri" w:cs="Arial"/>
                <w:sz w:val="26"/>
                <w:szCs w:val="22"/>
                <w:lang w:val="ru-RU" w:eastAsia="en-US" w:bidi="ar-SA"/>
              </w:rPr>
              <w:t xml:space="preserve">с необходимыми приложениями к ней, – предоставляется, если установлено соответствующее квалификационное требование к опыту (подраздел </w:t>
            </w:r>
            <w:r>
              <w:rPr>
                <w:rFonts w:eastAsia="Calibri" w:cs="Arial"/>
                <w:sz w:val="26"/>
                <w:szCs w:val="22"/>
                <w:lang w:val="ru-RU" w:eastAsia="en-US" w:bidi="ar-SA"/>
              </w:rPr>
              <w:fldChar w:fldCharType="begin"/>
            </w:r>
            <w:r>
              <w:rPr>
                <w:rFonts w:eastAsia="Calibri" w:cs="Arial"/>
                <w:sz w:val="26"/>
                <w:szCs w:val="22"/>
                <w:lang w:val="ru-RU" w:eastAsia="en-US" w:bidi="ar-SA"/>
              </w:rPr>
              <w:instrText xml:space="preserve"> REF _Ref125709154 \r \h </w:instrText>
            </w:r>
            <w:r>
              <w:rPr>
                <w:rFonts w:eastAsia="Calibri" w:cs="Arial"/>
                <w:sz w:val="26"/>
                <w:szCs w:val="22"/>
                <w:lang w:val="ru-RU" w:eastAsia="en-US" w:bidi="ar-SA"/>
              </w:rPr>
              <w:fldChar w:fldCharType="separate"/>
            </w:r>
            <w:r>
              <w:rPr>
                <w:rFonts w:eastAsia="Calibri" w:cs="Arial"/>
                <w:sz w:val="26"/>
                <w:szCs w:val="22"/>
                <w:lang w:val="ru-RU" w:eastAsia="en-US" w:bidi="ar-SA"/>
              </w:rPr>
              <w:t xml:space="preserve">8.4</w:t>
            </w:r>
            <w:r>
              <w:rPr>
                <w:rFonts w:eastAsia="Calibri" w:cs="Arial"/>
                <w:sz w:val="26"/>
                <w:szCs w:val="22"/>
                <w:lang w:val="ru-RU" w:eastAsia="en-US" w:bidi="ar-SA"/>
              </w:rPr>
              <w:fldChar w:fldCharType="end"/>
            </w:r>
            <w:r>
              <w:rPr>
                <w:rFonts w:eastAsia="Calibri" w:cs="Arial"/>
                <w:sz w:val="26"/>
                <w:szCs w:val="22"/>
                <w:lang w:val="ru-RU" w:eastAsia="en-US" w:bidi="ar-SA"/>
              </w:rPr>
              <w:t xml:space="preserve"> </w:t>
            </w:r>
            <w:hyperlink w:tooltip="#Прил03_ТребованияУчастникам" w:anchor="Прил03_ТребованияУчастникам" w:history="1">
              <w:r>
                <w:rPr>
                  <w:rStyle w:val="1311"/>
                  <w:rFonts w:eastAsia="Calibri" w:cs="Arial"/>
                  <w:sz w:val="26"/>
                  <w:szCs w:val="22"/>
                  <w:lang w:val="ru-RU" w:eastAsia="en-US" w:bidi="ar-SA"/>
                </w:rPr>
                <w:t xml:space="preserve">Приложения № 3</w:t>
              </w:r>
            </w:hyperlink>
            <w:r>
              <w:rPr>
                <w:rFonts w:eastAsia="Calibri" w:cs="Arial"/>
                <w:sz w:val="26"/>
                <w:szCs w:val="22"/>
                <w:lang w:val="ru-RU" w:eastAsia="en-US" w:bidi="ar-SA"/>
              </w:rPr>
              <w:t xml:space="preserve">) и (или) </w:t>
            </w:r>
            <w:r>
              <w:rPr>
                <w:rFonts w:eastAsia="Calibri" w:cs="Arial"/>
                <w:b/>
                <w:bCs/>
                <w:sz w:val="26"/>
                <w:szCs w:val="22"/>
                <w:lang w:val="ru-RU" w:eastAsia="en-US" w:bidi="ar-SA"/>
              </w:rPr>
              <w:t xml:space="preserve">если</w:t>
            </w:r>
            <w:r>
              <w:rPr>
                <w:rFonts w:eastAsia="Calibri" w:cs="Arial"/>
                <w:sz w:val="26"/>
                <w:szCs w:val="22"/>
                <w:lang w:val="ru-RU" w:eastAsia="en-US" w:bidi="ar-SA"/>
              </w:rPr>
              <w:t xml:space="preserve"> в </w:t>
            </w:r>
            <w:hyperlink w:tooltip="#Прил08_ПорядокОценки" w:anchor="Прил08_ПорядокОценки" w:history="1">
              <w:r>
                <w:rPr>
                  <w:rStyle w:val="1311"/>
                  <w:rFonts w:eastAsia="Calibri" w:cs="Arial"/>
                  <w:sz w:val="26"/>
                  <w:szCs w:val="22"/>
                  <w:lang w:val="ru-RU" w:eastAsia="en-US" w:bidi="ar-SA"/>
                </w:rPr>
                <w:t xml:space="preserve">Порядке и критериях оценки и сопоставления заявок (Приложение № 8)</w:t>
              </w:r>
            </w:hyperlink>
            <w:r>
              <w:rPr>
                <w:rFonts w:eastAsia="Calibri" w:cs="Arial"/>
                <w:sz w:val="26"/>
                <w:szCs w:val="22"/>
                <w:lang w:val="ru-RU" w:eastAsia="en-US" w:bidi="ar-SA"/>
              </w:rPr>
              <w:t xml:space="preserve"> установлен соответствующий критерий оценки в части опыта;</w:t>
            </w:r>
            <w:r/>
          </w:p>
        </w:tc>
      </w:tr>
      <w:tr>
        <w:tblPrEx/>
        <w:trPr/>
        <w:tc>
          <w:tcPr>
            <w:tcW w:w="707" w:type="dxa"/>
            <w:textDirection w:val="lrTb"/>
            <w:noWrap w:val="false"/>
          </w:tcPr>
          <w:p>
            <w:pPr>
              <w:pStyle w:val="1342"/>
              <w:numPr>
                <w:ilvl w:val="0"/>
                <w:numId w:val="6"/>
              </w:numPr>
              <w:ind w:left="170" w:firstLine="0"/>
              <w:jc w:val="center"/>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r>
            <w:bookmarkStart w:id="392" w:name="_Ref130389413"/>
            <w:r/>
            <w:bookmarkEnd w:id="392"/>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8075" w:type="dxa"/>
            <w:textDirection w:val="lrTb"/>
            <w:noWrap w:val="false"/>
          </w:tcPr>
          <w:p>
            <w:pPr>
              <w:pStyle w:val="1342"/>
              <w:spacing w:before="60" w:after="60" w:line="240" w:lineRule="auto"/>
              <w:widowControl w:val="off"/>
            </w:pPr>
            <w:r>
              <w:rPr>
                <w:rFonts w:eastAsia="Calibri" w:cs="Arial"/>
                <w:sz w:val="26"/>
                <w:szCs w:val="22"/>
                <w:lang w:val="ru-RU" w:eastAsia="en-US" w:bidi="ar-SA"/>
              </w:rPr>
              <w:t xml:space="preserve">Справка о материально-технических ресурсах (форма 7), с необходимыми приложениями к ней – предоставляется, если установлено соответствующее квалификационное требование к наличию (привлечению) материально-технических ресурсов (подраздел </w:t>
            </w:r>
            <w:r>
              <w:rPr>
                <w:rFonts w:eastAsia="Calibri" w:cs="Arial"/>
                <w:sz w:val="26"/>
                <w:szCs w:val="22"/>
                <w:lang w:val="ru-RU" w:eastAsia="en-US" w:bidi="ar-SA"/>
              </w:rPr>
              <w:fldChar w:fldCharType="begin"/>
            </w:r>
            <w:r>
              <w:rPr>
                <w:rFonts w:eastAsia="Calibri" w:cs="Arial"/>
                <w:sz w:val="26"/>
                <w:szCs w:val="22"/>
                <w:lang w:val="ru-RU" w:eastAsia="en-US" w:bidi="ar-SA"/>
              </w:rPr>
              <w:instrText xml:space="preserve"> REF _Ref125709154 \r \h </w:instrText>
            </w:r>
            <w:r>
              <w:rPr>
                <w:rFonts w:eastAsia="Calibri" w:cs="Arial"/>
                <w:sz w:val="26"/>
                <w:szCs w:val="22"/>
                <w:lang w:val="ru-RU" w:eastAsia="en-US" w:bidi="ar-SA"/>
              </w:rPr>
              <w:fldChar w:fldCharType="separate"/>
            </w:r>
            <w:r>
              <w:rPr>
                <w:rFonts w:eastAsia="Calibri" w:cs="Arial"/>
                <w:sz w:val="26"/>
                <w:szCs w:val="22"/>
                <w:lang w:val="ru-RU" w:eastAsia="en-US" w:bidi="ar-SA"/>
              </w:rPr>
              <w:t xml:space="preserve">8.4</w:t>
            </w:r>
            <w:r>
              <w:rPr>
                <w:rFonts w:eastAsia="Calibri" w:cs="Arial"/>
                <w:sz w:val="26"/>
                <w:szCs w:val="22"/>
                <w:lang w:val="ru-RU" w:eastAsia="en-US" w:bidi="ar-SA"/>
              </w:rPr>
              <w:fldChar w:fldCharType="end"/>
            </w:r>
            <w:r>
              <w:rPr>
                <w:rFonts w:eastAsia="Calibri" w:cs="Arial"/>
                <w:sz w:val="26"/>
                <w:szCs w:val="22"/>
                <w:lang w:val="ru-RU" w:eastAsia="en-US" w:bidi="ar-SA"/>
              </w:rPr>
              <w:t xml:space="preserve"> </w:t>
            </w:r>
            <w:hyperlink w:tooltip="#Прил03_ТребованияУчастникам" w:anchor="Прил03_ТребованияУчастникам" w:history="1">
              <w:r>
                <w:rPr>
                  <w:rStyle w:val="1311"/>
                  <w:rFonts w:eastAsia="Calibri" w:cs="Arial"/>
                  <w:sz w:val="26"/>
                  <w:szCs w:val="22"/>
                  <w:lang w:val="ru-RU" w:eastAsia="en-US" w:bidi="ar-SA"/>
                </w:rPr>
                <w:t xml:space="preserve">Приложения № 3</w:t>
              </w:r>
            </w:hyperlink>
            <w:r>
              <w:rPr>
                <w:rFonts w:eastAsia="Calibri" w:cs="Arial"/>
                <w:sz w:val="26"/>
                <w:szCs w:val="22"/>
                <w:lang w:val="ru-RU" w:eastAsia="en-US" w:bidi="ar-SA"/>
              </w:rPr>
              <w:t xml:space="preserve">) и (или)</w:t>
            </w:r>
            <w:r>
              <w:rPr>
                <w:rFonts w:eastAsia="Calibri" w:cs="Arial"/>
                <w:b/>
                <w:bCs/>
                <w:sz w:val="26"/>
                <w:szCs w:val="22"/>
                <w:lang w:val="ru-RU" w:eastAsia="en-US" w:bidi="ar-SA"/>
              </w:rPr>
              <w:t xml:space="preserve"> если</w:t>
            </w:r>
            <w:r>
              <w:rPr>
                <w:rFonts w:eastAsia="Calibri" w:cs="Arial"/>
                <w:sz w:val="26"/>
                <w:szCs w:val="22"/>
                <w:lang w:val="ru-RU" w:eastAsia="en-US" w:bidi="ar-SA"/>
              </w:rPr>
              <w:t xml:space="preserve"> в </w:t>
            </w:r>
            <w:hyperlink w:tooltip="#Прил08_ПорядокОценки" w:anchor="Прил08_ПорядокОценки" w:history="1">
              <w:r>
                <w:rPr>
                  <w:rStyle w:val="1311"/>
                  <w:rFonts w:eastAsia="Calibri" w:cs="Arial"/>
                  <w:sz w:val="26"/>
                  <w:szCs w:val="22"/>
                  <w:lang w:val="ru-RU" w:eastAsia="en-US" w:bidi="ar-SA"/>
                </w:rPr>
                <w:t xml:space="preserve">Порядке и критериях оценки и сопоставления заявок (Приложение № 8)</w:t>
              </w:r>
            </w:hyperlink>
            <w:r>
              <w:rPr>
                <w:rFonts w:eastAsia="Calibri" w:cs="Arial"/>
                <w:sz w:val="26"/>
                <w:szCs w:val="22"/>
                <w:lang w:val="ru-RU" w:eastAsia="en-US" w:bidi="ar-SA"/>
              </w:rPr>
              <w:t xml:space="preserve"> установлен соответствующий критерий оценки в части наличия (привлечения) материально-технических ресурсов;</w:t>
            </w:r>
            <w:r/>
          </w:p>
        </w:tc>
      </w:tr>
      <w:tr>
        <w:tblPrEx/>
        <w:trPr/>
        <w:tc>
          <w:tcPr>
            <w:tcW w:w="707" w:type="dxa"/>
            <w:textDirection w:val="lrTb"/>
            <w:noWrap w:val="false"/>
          </w:tcPr>
          <w:p>
            <w:pPr>
              <w:pStyle w:val="1342"/>
              <w:numPr>
                <w:ilvl w:val="0"/>
                <w:numId w:val="6"/>
              </w:numPr>
              <w:ind w:left="170" w:firstLine="0"/>
              <w:jc w:val="center"/>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r>
            <w:bookmarkStart w:id="394" w:name="_Ref130389419"/>
            <w:r/>
            <w:bookmarkEnd w:id="394"/>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8075" w:type="dxa"/>
            <w:textDirection w:val="lrTb"/>
            <w:noWrap w:val="false"/>
          </w:tcPr>
          <w:p>
            <w:pPr>
              <w:pStyle w:val="1342"/>
              <w:spacing w:before="60" w:after="60" w:line="240" w:lineRule="auto"/>
              <w:widowControl w:val="off"/>
            </w:pPr>
            <w:r>
              <w:rPr>
                <w:rFonts w:eastAsia="Calibri" w:cs="Arial"/>
                <w:sz w:val="26"/>
                <w:szCs w:val="22"/>
                <w:lang w:val="ru-RU" w:eastAsia="en-US" w:bidi="ar-SA"/>
              </w:rPr>
              <w:t xml:space="preserve">Справка о кадровых ресурсах (форма 8), с необходимыми приложениями к ней – предоставляется, если установлено соответствующее квалификационное требование к наличию (привлечения) кадровых ресурсов (подраздел </w:t>
            </w:r>
            <w:r>
              <w:rPr>
                <w:rFonts w:eastAsia="Calibri" w:cs="Arial"/>
                <w:sz w:val="26"/>
                <w:szCs w:val="22"/>
                <w:lang w:val="ru-RU" w:eastAsia="en-US" w:bidi="ar-SA"/>
              </w:rPr>
              <w:fldChar w:fldCharType="begin"/>
            </w:r>
            <w:r>
              <w:rPr>
                <w:rFonts w:eastAsia="Calibri" w:cs="Arial"/>
                <w:sz w:val="26"/>
                <w:szCs w:val="22"/>
                <w:lang w:val="ru-RU" w:eastAsia="en-US" w:bidi="ar-SA"/>
              </w:rPr>
              <w:instrText xml:space="preserve"> REF _Ref125709154 \r \h </w:instrText>
            </w:r>
            <w:r>
              <w:rPr>
                <w:rFonts w:eastAsia="Calibri" w:cs="Arial"/>
                <w:sz w:val="26"/>
                <w:szCs w:val="22"/>
                <w:lang w:val="ru-RU" w:eastAsia="en-US" w:bidi="ar-SA"/>
              </w:rPr>
              <w:fldChar w:fldCharType="separate"/>
            </w:r>
            <w:r>
              <w:rPr>
                <w:rFonts w:eastAsia="Calibri" w:cs="Arial"/>
                <w:sz w:val="26"/>
                <w:szCs w:val="22"/>
                <w:lang w:val="ru-RU" w:eastAsia="en-US" w:bidi="ar-SA"/>
              </w:rPr>
              <w:t xml:space="preserve">8.4</w:t>
            </w:r>
            <w:r>
              <w:rPr>
                <w:rFonts w:eastAsia="Calibri" w:cs="Arial"/>
                <w:sz w:val="26"/>
                <w:szCs w:val="22"/>
                <w:lang w:val="ru-RU" w:eastAsia="en-US" w:bidi="ar-SA"/>
              </w:rPr>
              <w:fldChar w:fldCharType="end"/>
            </w:r>
            <w:r>
              <w:rPr>
                <w:rFonts w:eastAsia="Calibri" w:cs="Arial"/>
                <w:sz w:val="26"/>
                <w:szCs w:val="22"/>
                <w:lang w:val="ru-RU" w:eastAsia="en-US" w:bidi="ar-SA"/>
              </w:rPr>
              <w:t xml:space="preserve"> </w:t>
            </w:r>
            <w:hyperlink w:tooltip="#Прил03_ТребованияУчастникам" w:anchor="Прил03_ТребованияУчастникам" w:history="1">
              <w:r>
                <w:rPr>
                  <w:rStyle w:val="1311"/>
                  <w:rFonts w:eastAsia="Calibri" w:cs="Arial"/>
                  <w:sz w:val="26"/>
                  <w:szCs w:val="22"/>
                  <w:lang w:val="ru-RU" w:eastAsia="en-US" w:bidi="ar-SA"/>
                </w:rPr>
                <w:t xml:space="preserve">Приложения № 3</w:t>
              </w:r>
            </w:hyperlink>
            <w:r>
              <w:rPr>
                <w:rFonts w:eastAsia="Calibri" w:cs="Arial"/>
                <w:sz w:val="26"/>
                <w:szCs w:val="22"/>
                <w:lang w:val="ru-RU" w:eastAsia="en-US" w:bidi="ar-SA"/>
              </w:rPr>
              <w:t xml:space="preserve">) и (или) если в </w:t>
            </w:r>
            <w:hyperlink w:tooltip="#Прил08_ПорядокОценки" w:anchor="Прил08_ПорядокОценки" w:history="1">
              <w:r>
                <w:rPr>
                  <w:rStyle w:val="1311"/>
                  <w:rFonts w:eastAsia="Calibri" w:cs="Arial"/>
                  <w:sz w:val="26"/>
                  <w:szCs w:val="22"/>
                  <w:lang w:val="ru-RU" w:eastAsia="en-US" w:bidi="ar-SA"/>
                </w:rPr>
                <w:t xml:space="preserve">Порядке и критериях оценки и сопоставления заявок (Приложение № 8)</w:t>
              </w:r>
            </w:hyperlink>
            <w:r>
              <w:rPr>
                <w:rFonts w:eastAsia="Calibri" w:cs="Arial"/>
                <w:sz w:val="26"/>
                <w:szCs w:val="22"/>
                <w:lang w:val="ru-RU" w:eastAsia="en-US" w:bidi="ar-SA"/>
              </w:rPr>
              <w:t xml:space="preserve"> установлен соответствующий критерий оценки в части наличия (привлечения) кадровых ресурсов;</w:t>
            </w:r>
            <w:r/>
          </w:p>
        </w:tc>
      </w:tr>
      <w:tr>
        <w:tblPrEx/>
        <w:trPr/>
        <w:tc>
          <w:tcPr>
            <w:tcW w:w="707" w:type="dxa"/>
            <w:textDirection w:val="lrTb"/>
            <w:noWrap w:val="false"/>
          </w:tcPr>
          <w:p>
            <w:pPr>
              <w:pStyle w:val="1342"/>
              <w:numPr>
                <w:ilvl w:val="0"/>
                <w:numId w:val="6"/>
              </w:numPr>
              <w:ind w:left="170" w:firstLine="0"/>
              <w:jc w:val="center"/>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8075" w:type="dxa"/>
            <w:textDirection w:val="lrTb"/>
            <w:noWrap w:val="false"/>
          </w:tcPr>
          <w:p>
            <w:pPr>
              <w:pStyle w:val="1342"/>
              <w:spacing w:before="60" w:after="60" w:line="240" w:lineRule="auto"/>
              <w:widowControl w:val="off"/>
            </w:pPr>
            <w:r>
              <w:rPr>
                <w:rFonts w:eastAsia="Calibri" w:cs="Arial"/>
                <w:sz w:val="26"/>
                <w:szCs w:val="22"/>
                <w:lang w:val="ru-RU" w:eastAsia="en-US" w:bidi="ar-SA"/>
              </w:rPr>
              <w:t xml:space="preserve">Справка об аффилированности Участника с изготовителем (производителем) предлагаемого това</w:t>
            </w:r>
            <w:r>
              <w:rPr>
                <w:rFonts w:eastAsia="Calibri" w:cs="Arial"/>
                <w:sz w:val="26"/>
                <w:szCs w:val="22"/>
                <w:lang w:val="ru-RU" w:eastAsia="en-US" w:bidi="ar-SA"/>
              </w:rPr>
              <w:t xml:space="preserve">ра (форма 9) – предоставляется, если Участник имеет признаки аффилированности согласно критериям, установленным в инструкции к указанной справке (дополнительно предоставляются документы, подтверждающие аффилированность по тому или иному критерию) и </w:t>
            </w:r>
            <w:r>
              <w:rPr>
                <w:rFonts w:eastAsia="Calibri" w:cs="Arial"/>
                <w:b/>
                <w:bCs/>
                <w:sz w:val="26"/>
                <w:szCs w:val="22"/>
                <w:lang w:val="ru-RU" w:eastAsia="en-US" w:bidi="ar-SA"/>
              </w:rPr>
              <w:t xml:space="preserve">если </w:t>
            </w:r>
            <w:r>
              <w:rPr>
                <w:rFonts w:eastAsia="Calibri" w:cs="Arial"/>
                <w:sz w:val="26"/>
                <w:szCs w:val="22"/>
                <w:lang w:val="ru-RU" w:eastAsia="en-US" w:bidi="ar-SA"/>
              </w:rPr>
              <w:t xml:space="preserve">в </w:t>
            </w:r>
            <w:hyperlink w:tooltip="#Прил08_ПорядокОценки" w:anchor="Прил08_ПорядокОценки" w:history="1">
              <w:r>
                <w:rPr>
                  <w:rStyle w:val="1311"/>
                  <w:rFonts w:eastAsia="Calibri" w:cs="Arial"/>
                  <w:sz w:val="26"/>
                  <w:szCs w:val="22"/>
                  <w:lang w:val="ru-RU" w:eastAsia="en-US" w:bidi="ar-SA"/>
                </w:rPr>
                <w:t xml:space="preserve">Порядке и критериях оценки и сопоставления заявок (Приложение № 8)</w:t>
              </w:r>
            </w:hyperlink>
            <w:r>
              <w:rPr>
                <w:rFonts w:eastAsia="Calibri" w:cs="Arial"/>
                <w:sz w:val="26"/>
                <w:szCs w:val="22"/>
                <w:lang w:val="ru-RU" w:eastAsia="en-US" w:bidi="ar-SA"/>
              </w:rPr>
              <w:t xml:space="preserve"> установлен соответствующий критерий оценки в части наличия аффилированности;</w:t>
            </w:r>
            <w:r/>
          </w:p>
        </w:tc>
      </w:tr>
      <w:tr>
        <w:tblPrEx/>
        <w:trPr/>
        <w:tc>
          <w:tcPr>
            <w:tcW w:w="707" w:type="dxa"/>
            <w:textDirection w:val="lrTb"/>
            <w:noWrap w:val="false"/>
          </w:tcPr>
          <w:p>
            <w:pPr>
              <w:pStyle w:val="1342"/>
              <w:numPr>
                <w:ilvl w:val="0"/>
                <w:numId w:val="6"/>
              </w:numPr>
              <w:ind w:left="170" w:firstLine="0"/>
              <w:jc w:val="center"/>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8075" w:type="dxa"/>
            <w:textDirection w:val="lrTb"/>
            <w:noWrap w:val="false"/>
          </w:tcPr>
          <w:p>
            <w:pPr>
              <w:pStyle w:val="1271"/>
              <w:jc w:val="both"/>
              <w:spacing w:before="120" w:after="0" w:line="240" w:lineRule="auto"/>
              <w:widowControl w:val="off"/>
            </w:pPr>
            <w:r>
              <w:rPr>
                <w:rFonts w:eastAsia="Calibri" w:cs="Arial"/>
                <w:sz w:val="26"/>
                <w:szCs w:val="22"/>
                <w:lang w:val="ru-RU" w:eastAsia="en-US" w:bidi="ar-SA"/>
              </w:rPr>
              <w:t xml:space="preserve">Документы, подтверждающие соответствие Участника обязательным требованиям Документации о закупке (подраздел </w:t>
            </w:r>
            <w:r>
              <w:rPr>
                <w:rFonts w:eastAsia="Calibri" w:cs="Arial"/>
                <w:sz w:val="26"/>
                <w:szCs w:val="22"/>
                <w:lang w:val="ru-RU" w:eastAsia="en-US" w:bidi="ar-SA"/>
              </w:rPr>
              <w:fldChar w:fldCharType="begin"/>
            </w:r>
            <w:r>
              <w:rPr>
                <w:rFonts w:eastAsia="Calibri" w:cs="Arial"/>
                <w:sz w:val="26"/>
                <w:szCs w:val="22"/>
                <w:lang w:val="ru-RU" w:eastAsia="en-US" w:bidi="ar-SA"/>
              </w:rPr>
              <w:instrText xml:space="preserve"> REF _Ref125361435 \w \h </w:instrText>
            </w:r>
            <w:r>
              <w:rPr>
                <w:rFonts w:eastAsia="Calibri" w:cs="Arial"/>
                <w:sz w:val="26"/>
                <w:szCs w:val="22"/>
                <w:lang w:val="ru-RU" w:eastAsia="en-US" w:bidi="ar-SA"/>
              </w:rPr>
              <w:fldChar w:fldCharType="separate"/>
            </w:r>
            <w:r>
              <w:rPr>
                <w:rFonts w:eastAsia="Calibri" w:cs="Arial"/>
                <w:sz w:val="26"/>
                <w:szCs w:val="22"/>
                <w:lang w:val="ru-RU" w:eastAsia="en-US" w:bidi="ar-SA"/>
              </w:rPr>
              <w:t xml:space="preserve">8.2</w:t>
            </w:r>
            <w:r>
              <w:rPr>
                <w:rFonts w:eastAsia="Calibri" w:cs="Arial"/>
                <w:sz w:val="26"/>
                <w:szCs w:val="22"/>
                <w:lang w:val="ru-RU" w:eastAsia="en-US" w:bidi="ar-SA"/>
              </w:rPr>
              <w:fldChar w:fldCharType="end"/>
            </w:r>
            <w:r>
              <w:rPr>
                <w:rFonts w:eastAsia="Calibri" w:cs="Arial"/>
                <w:sz w:val="26"/>
                <w:szCs w:val="22"/>
                <w:lang w:val="ru-RU" w:eastAsia="en-US" w:bidi="ar-SA"/>
              </w:rPr>
              <w:t xml:space="preserve"> </w:t>
            </w:r>
            <w:hyperlink w:tooltip="#Прил03_ТребованияУчастникам" w:anchor="Прил03_ТребованияУчастникам" w:history="1">
              <w:r>
                <w:rPr>
                  <w:rStyle w:val="1311"/>
                  <w:rFonts w:eastAsia="Calibri" w:cs="Arial"/>
                  <w:sz w:val="26"/>
                  <w:szCs w:val="22"/>
                  <w:lang w:val="ru-RU" w:eastAsia="en-US" w:bidi="ar-SA"/>
                </w:rPr>
                <w:t xml:space="preserve">Приложения № 3</w:t>
              </w:r>
            </w:hyperlink>
            <w:r>
              <w:rPr>
                <w:rFonts w:eastAsia="Calibri" w:cs="Arial"/>
                <w:sz w:val="26"/>
                <w:szCs w:val="22"/>
                <w:lang w:val="ru-RU" w:eastAsia="en-US" w:bidi="ar-SA"/>
              </w:rPr>
              <w:t xml:space="preserve">), а также необходимые документы для прохождения (при необходимости) процедуры аккредитации – требования к подтверждающим документам приведены в указанном подразделе;</w:t>
            </w:r>
            <w:r/>
          </w:p>
        </w:tc>
      </w:tr>
      <w:tr>
        <w:tblPrEx/>
        <w:trPr/>
        <w:tc>
          <w:tcPr>
            <w:tcW w:w="707" w:type="dxa"/>
            <w:textDirection w:val="lrTb"/>
            <w:noWrap w:val="false"/>
          </w:tcPr>
          <w:p>
            <w:pPr>
              <w:pStyle w:val="1342"/>
              <w:numPr>
                <w:ilvl w:val="0"/>
                <w:numId w:val="6"/>
              </w:numPr>
              <w:ind w:left="170" w:firstLine="0"/>
              <w:jc w:val="center"/>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8075" w:type="dxa"/>
            <w:textDirection w:val="lrTb"/>
            <w:noWrap w:val="false"/>
          </w:tcPr>
          <w:p>
            <w:pPr>
              <w:pStyle w:val="1342"/>
              <w:spacing w:before="60" w:after="60" w:line="240" w:lineRule="auto"/>
              <w:widowControl w:val="off"/>
            </w:pPr>
            <w:r>
              <w:rPr>
                <w:rFonts w:eastAsia="Calibri" w:cs="Arial"/>
                <w:sz w:val="26"/>
                <w:szCs w:val="22"/>
                <w:lang w:val="ru-RU" w:eastAsia="en-US" w:bidi="ar-SA"/>
              </w:rPr>
              <w:t xml:space="preserve">Документы, подтверждающие соответствие Участника специальным требованиям – предоставляются, если соответствующие требования установлены в Документации о закупке (подраздел </w:t>
            </w:r>
            <w:r>
              <w:rPr>
                <w:rFonts w:eastAsia="Calibri" w:cs="Arial"/>
                <w:sz w:val="26"/>
                <w:szCs w:val="22"/>
                <w:lang w:val="ru-RU" w:eastAsia="en-US" w:bidi="ar-SA"/>
              </w:rPr>
              <w:fldChar w:fldCharType="begin"/>
            </w:r>
            <w:r>
              <w:rPr>
                <w:rFonts w:eastAsia="Calibri" w:cs="Arial"/>
                <w:sz w:val="26"/>
                <w:szCs w:val="22"/>
                <w:lang w:val="ru-RU" w:eastAsia="en-US" w:bidi="ar-SA"/>
              </w:rPr>
              <w:instrText xml:space="preserve"> REF _Ref125709153 \r \h </w:instrText>
            </w:r>
            <w:r>
              <w:rPr>
                <w:rFonts w:eastAsia="Calibri" w:cs="Arial"/>
                <w:sz w:val="26"/>
                <w:szCs w:val="22"/>
                <w:lang w:val="ru-RU" w:eastAsia="en-US" w:bidi="ar-SA"/>
              </w:rPr>
              <w:fldChar w:fldCharType="separate"/>
            </w:r>
            <w:r>
              <w:rPr>
                <w:rFonts w:eastAsia="Calibri" w:cs="Arial"/>
                <w:sz w:val="26"/>
                <w:szCs w:val="22"/>
                <w:lang w:val="ru-RU" w:eastAsia="en-US" w:bidi="ar-SA"/>
              </w:rPr>
              <w:t xml:space="preserve">8.3</w:t>
            </w:r>
            <w:r>
              <w:rPr>
                <w:rFonts w:eastAsia="Calibri" w:cs="Arial"/>
                <w:sz w:val="26"/>
                <w:szCs w:val="22"/>
                <w:lang w:val="ru-RU" w:eastAsia="en-US" w:bidi="ar-SA"/>
              </w:rPr>
              <w:fldChar w:fldCharType="end"/>
            </w:r>
            <w:r>
              <w:rPr>
                <w:rFonts w:eastAsia="Calibri" w:cs="Arial"/>
                <w:sz w:val="26"/>
                <w:szCs w:val="22"/>
                <w:lang w:val="ru-RU" w:eastAsia="en-US" w:bidi="ar-SA"/>
              </w:rPr>
              <w:t xml:space="preserve"> </w:t>
            </w:r>
            <w:hyperlink w:tooltip="#Прил03_ТребованияУчастникам" w:anchor="Прил03_ТребованияУчастникам" w:history="1">
              <w:r>
                <w:rPr>
                  <w:rStyle w:val="1311"/>
                  <w:rFonts w:eastAsia="Calibri" w:cs="Arial"/>
                  <w:sz w:val="26"/>
                  <w:szCs w:val="22"/>
                  <w:lang w:val="ru-RU" w:eastAsia="en-US" w:bidi="ar-SA"/>
                </w:rPr>
                <w:t xml:space="preserve">Приложения № 3</w:t>
              </w:r>
            </w:hyperlink>
            <w:r>
              <w:rPr>
                <w:rFonts w:eastAsia="Calibri" w:cs="Arial"/>
                <w:sz w:val="26"/>
                <w:szCs w:val="22"/>
                <w:lang w:val="ru-RU" w:eastAsia="en-US" w:bidi="ar-SA"/>
              </w:rPr>
              <w:t xml:space="preserve">);</w:t>
            </w:r>
            <w:r/>
          </w:p>
        </w:tc>
      </w:tr>
      <w:tr>
        <w:tblPrEx/>
        <w:trPr/>
        <w:tc>
          <w:tcPr>
            <w:tcW w:w="707" w:type="dxa"/>
            <w:textDirection w:val="lrTb"/>
            <w:noWrap w:val="false"/>
          </w:tcPr>
          <w:p>
            <w:pPr>
              <w:pStyle w:val="1342"/>
              <w:numPr>
                <w:ilvl w:val="0"/>
                <w:numId w:val="6"/>
              </w:numPr>
              <w:ind w:left="170" w:firstLine="0"/>
              <w:jc w:val="center"/>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8075" w:type="dxa"/>
            <w:textDirection w:val="lrTb"/>
            <w:noWrap w:val="false"/>
          </w:tcPr>
          <w:p>
            <w:pPr>
              <w:pStyle w:val="1342"/>
              <w:spacing w:before="60" w:after="60" w:line="240" w:lineRule="auto"/>
              <w:widowControl w:val="off"/>
            </w:pPr>
            <w:r>
              <w:rPr>
                <w:rFonts w:eastAsia="Calibri" w:cs="Arial"/>
                <w:sz w:val="26"/>
                <w:szCs w:val="22"/>
                <w:lang w:val="ru-RU" w:eastAsia="en-US" w:bidi="ar-SA"/>
              </w:rPr>
              <w:t xml:space="preserve">Документы, подтверждающие соответствие Коллективного участника требованиям Документации о закупке (подраздел </w:t>
            </w:r>
            <w:r>
              <w:rPr>
                <w:rFonts w:eastAsia="Calibri" w:cs="Arial"/>
                <w:sz w:val="26"/>
                <w:szCs w:val="22"/>
                <w:lang w:val="ru-RU" w:eastAsia="en-US" w:bidi="ar-SA"/>
              </w:rPr>
              <w:fldChar w:fldCharType="begin"/>
            </w:r>
            <w:r>
              <w:rPr>
                <w:rFonts w:eastAsia="Calibri" w:cs="Arial"/>
                <w:sz w:val="26"/>
                <w:szCs w:val="22"/>
                <w:lang w:val="ru-RU" w:eastAsia="en-US" w:bidi="ar-SA"/>
              </w:rPr>
              <w:instrText xml:space="preserve"> REF _Ref125709228 \r \h </w:instrText>
            </w:r>
            <w:r>
              <w:rPr>
                <w:rFonts w:eastAsia="Calibri" w:cs="Arial"/>
                <w:sz w:val="26"/>
                <w:szCs w:val="22"/>
                <w:lang w:val="ru-RU" w:eastAsia="en-US" w:bidi="ar-SA"/>
              </w:rPr>
              <w:fldChar w:fldCharType="separate"/>
            </w:r>
            <w:r>
              <w:rPr>
                <w:rFonts w:eastAsia="Calibri" w:cs="Arial"/>
                <w:sz w:val="26"/>
                <w:szCs w:val="22"/>
                <w:lang w:val="ru-RU" w:eastAsia="en-US" w:bidi="ar-SA"/>
              </w:rPr>
              <w:t xml:space="preserve">8.5</w:t>
            </w:r>
            <w:r>
              <w:rPr>
                <w:rFonts w:eastAsia="Calibri" w:cs="Arial"/>
                <w:sz w:val="26"/>
                <w:szCs w:val="22"/>
                <w:lang w:val="ru-RU" w:eastAsia="en-US" w:bidi="ar-SA"/>
              </w:rPr>
              <w:fldChar w:fldCharType="end"/>
            </w:r>
            <w:r>
              <w:rPr>
                <w:rFonts w:eastAsia="Calibri" w:cs="Arial"/>
                <w:sz w:val="26"/>
                <w:szCs w:val="22"/>
                <w:lang w:val="ru-RU" w:eastAsia="en-US" w:bidi="ar-SA"/>
              </w:rPr>
              <w:t xml:space="preserve"> </w:t>
            </w:r>
            <w:hyperlink w:tooltip="#Прил03_ТребованияУчастникам" w:anchor="Прил03_ТребованияУчастникам" w:history="1">
              <w:r>
                <w:rPr>
                  <w:rStyle w:val="1311"/>
                  <w:rFonts w:eastAsia="Calibri" w:cs="Arial"/>
                  <w:sz w:val="26"/>
                  <w:szCs w:val="22"/>
                  <w:lang w:val="ru-RU" w:eastAsia="en-US" w:bidi="ar-SA"/>
                </w:rPr>
                <w:t xml:space="preserve">Приложения № 3</w:t>
              </w:r>
            </w:hyperlink>
            <w:r>
              <w:rPr>
                <w:rFonts w:eastAsia="Calibri" w:cs="Arial"/>
                <w:sz w:val="26"/>
                <w:szCs w:val="22"/>
                <w:lang w:val="ru-RU" w:eastAsia="en-US" w:bidi="ar-SA"/>
              </w:rPr>
              <w:t xml:space="preserve">) – предоставляются, если Участник подает заявку от лица Коллективного участника (подраздел </w:t>
            </w:r>
            <w:r>
              <w:rPr>
                <w:rFonts w:eastAsia="Calibri" w:cs="Arial"/>
                <w:sz w:val="26"/>
                <w:szCs w:val="22"/>
                <w:lang w:val="ru-RU" w:eastAsia="en-US" w:bidi="ar-SA"/>
              </w:rPr>
              <w:fldChar w:fldCharType="begin"/>
            </w:r>
            <w:r>
              <w:rPr>
                <w:rFonts w:eastAsia="Calibri" w:cs="Arial"/>
                <w:sz w:val="26"/>
                <w:szCs w:val="22"/>
                <w:lang w:val="ru-RU" w:eastAsia="en-US" w:bidi="ar-SA"/>
              </w:rPr>
              <w:instrText xml:space="preserve"> REF _Ref130305355 \r \h </w:instrText>
            </w:r>
            <w:r>
              <w:rPr>
                <w:rFonts w:eastAsia="Calibri" w:cs="Arial"/>
                <w:sz w:val="26"/>
                <w:szCs w:val="22"/>
                <w:lang w:val="ru-RU" w:eastAsia="en-US" w:bidi="ar-SA"/>
              </w:rPr>
              <w:fldChar w:fldCharType="separate"/>
            </w:r>
            <w:r>
              <w:rPr>
                <w:rFonts w:eastAsia="Calibri" w:cs="Arial"/>
                <w:sz w:val="26"/>
                <w:szCs w:val="22"/>
                <w:lang w:val="ru-RU" w:eastAsia="en-US" w:bidi="ar-SA"/>
              </w:rPr>
              <w:t xml:space="preserve">3.2</w:t>
            </w:r>
            <w:r>
              <w:rPr>
                <w:rFonts w:eastAsia="Calibri" w:cs="Arial"/>
                <w:sz w:val="26"/>
                <w:szCs w:val="22"/>
                <w:lang w:val="ru-RU" w:eastAsia="en-US" w:bidi="ar-SA"/>
              </w:rPr>
              <w:fldChar w:fldCharType="end"/>
            </w:r>
            <w:r>
              <w:rPr>
                <w:rFonts w:eastAsia="Calibri" w:cs="Arial"/>
                <w:sz w:val="26"/>
                <w:szCs w:val="22"/>
                <w:lang w:val="ru-RU" w:eastAsia="en-US" w:bidi="ar-SA"/>
              </w:rPr>
              <w:t xml:space="preserve">), а именно:</w:t>
            </w:r>
            <w:r/>
          </w:p>
          <w:p>
            <w:pPr>
              <w:pStyle w:val="1342"/>
              <w:numPr>
                <w:ilvl w:val="0"/>
                <w:numId w:val="9"/>
              </w:numPr>
              <w:ind w:left="284" w:hanging="284"/>
              <w:spacing w:before="60" w:after="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План распределения объемов поставки продукции (форма 10);</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p>
            <w:pPr>
              <w:pStyle w:val="1342"/>
              <w:numPr>
                <w:ilvl w:val="0"/>
                <w:numId w:val="9"/>
              </w:numPr>
              <w:ind w:left="284" w:hanging="284"/>
              <w:spacing w:before="0" w:after="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Копия Соглашения между членами Коллективного участника, подготовленного в соответствии с требованиями пункта </w:t>
            </w:r>
            <w:r>
              <w:rPr>
                <w:rFonts w:eastAsia="Calibri" w:cs="Arial"/>
                <w:sz w:val="26"/>
                <w:szCs w:val="22"/>
                <w:lang w:val="ru-RU" w:eastAsia="en-US" w:bidi="ar-SA"/>
              </w:rPr>
              <w:fldChar w:fldCharType="begin"/>
            </w:r>
            <w:r>
              <w:rPr>
                <w:rFonts w:eastAsia="Calibri" w:cs="Arial"/>
                <w:sz w:val="26"/>
                <w:szCs w:val="22"/>
                <w:lang w:val="ru-RU" w:eastAsia="en-US" w:bidi="ar-SA"/>
              </w:rPr>
              <w:instrText xml:space="preserve"> REF _Ref125366972 \r \h </w:instrText>
            </w:r>
            <w:r>
              <w:rPr>
                <w:rFonts w:eastAsia="Calibri" w:cs="Arial"/>
                <w:sz w:val="26"/>
                <w:szCs w:val="22"/>
                <w:lang w:val="ru-RU" w:eastAsia="en-US" w:bidi="ar-SA"/>
              </w:rPr>
              <w:fldChar w:fldCharType="separate"/>
            </w:r>
            <w:r>
              <w:rPr>
                <w:rFonts w:eastAsia="Calibri" w:cs="Arial"/>
                <w:sz w:val="26"/>
                <w:szCs w:val="22"/>
                <w:lang w:val="ru-RU" w:eastAsia="en-US" w:bidi="ar-SA"/>
              </w:rPr>
              <w:t xml:space="preserve">3.2.3</w:t>
            </w:r>
            <w:r>
              <w:rPr>
                <w:rFonts w:eastAsia="Calibri" w:cs="Arial"/>
                <w:sz w:val="26"/>
                <w:szCs w:val="22"/>
                <w:lang w:val="ru-RU" w:eastAsia="en-US" w:bidi="ar-SA"/>
              </w:rPr>
              <w:fldChar w:fldCharType="end"/>
            </w:r>
            <w:r>
              <w:rPr>
                <w:rFonts w:eastAsia="Calibri" w:cs="Arial"/>
                <w:sz w:val="26"/>
                <w:szCs w:val="22"/>
                <w:lang w:val="ru-RU" w:eastAsia="en-US" w:bidi="ar-SA"/>
              </w:rPr>
              <w:t xml:space="preserve"> Документации о закупке;</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p>
            <w:pPr>
              <w:pStyle w:val="1342"/>
              <w:numPr>
                <w:ilvl w:val="0"/>
                <w:numId w:val="9"/>
              </w:numPr>
              <w:ind w:left="284" w:hanging="284"/>
              <w:spacing w:before="0" w:after="60" w:line="240" w:lineRule="auto"/>
              <w:widowControl w:val="off"/>
            </w:pPr>
            <w:r>
              <w:rPr>
                <w:rFonts w:eastAsia="Calibri" w:cs="Arial"/>
                <w:sz w:val="26"/>
                <w:szCs w:val="22"/>
                <w:lang w:val="ru-RU" w:eastAsia="en-US" w:bidi="ar-SA"/>
              </w:rPr>
              <w:t xml:space="preserve">прочие документы, определенные в подразделе </w:t>
            </w:r>
            <w:r>
              <w:rPr>
                <w:rFonts w:eastAsia="Calibri" w:cs="Arial"/>
                <w:sz w:val="26"/>
                <w:szCs w:val="22"/>
                <w:lang w:val="ru-RU" w:eastAsia="en-US" w:bidi="ar-SA"/>
              </w:rPr>
              <w:fldChar w:fldCharType="begin"/>
            </w:r>
            <w:r>
              <w:rPr>
                <w:rFonts w:eastAsia="Calibri" w:cs="Arial"/>
                <w:sz w:val="26"/>
                <w:szCs w:val="22"/>
                <w:lang w:val="ru-RU" w:eastAsia="en-US" w:bidi="ar-SA"/>
              </w:rPr>
              <w:instrText xml:space="preserve"> REF _Ref125709228 \r \h </w:instrText>
            </w:r>
            <w:r>
              <w:rPr>
                <w:rFonts w:eastAsia="Calibri" w:cs="Arial"/>
                <w:sz w:val="26"/>
                <w:szCs w:val="22"/>
                <w:lang w:val="ru-RU" w:eastAsia="en-US" w:bidi="ar-SA"/>
              </w:rPr>
              <w:fldChar w:fldCharType="separate"/>
            </w:r>
            <w:r>
              <w:rPr>
                <w:rFonts w:eastAsia="Calibri" w:cs="Arial"/>
                <w:sz w:val="26"/>
                <w:szCs w:val="22"/>
                <w:lang w:val="ru-RU" w:eastAsia="en-US" w:bidi="ar-SA"/>
              </w:rPr>
              <w:t xml:space="preserve">8.5</w:t>
            </w:r>
            <w:r>
              <w:rPr>
                <w:rFonts w:eastAsia="Calibri" w:cs="Arial"/>
                <w:sz w:val="26"/>
                <w:szCs w:val="22"/>
                <w:lang w:val="ru-RU" w:eastAsia="en-US" w:bidi="ar-SA"/>
              </w:rPr>
              <w:fldChar w:fldCharType="end"/>
            </w:r>
            <w:r>
              <w:rPr>
                <w:rFonts w:eastAsia="Calibri" w:cs="Arial"/>
                <w:sz w:val="26"/>
                <w:szCs w:val="22"/>
                <w:lang w:val="ru-RU" w:eastAsia="en-US" w:bidi="ar-SA"/>
              </w:rPr>
              <w:t xml:space="preserve"> </w:t>
            </w:r>
            <w:hyperlink w:tooltip="#Прил03_ТребованияУчастникам" w:anchor="Прил03_ТребованияУчастникам" w:history="1">
              <w:r>
                <w:rPr>
                  <w:rStyle w:val="1311"/>
                  <w:rFonts w:eastAsia="Calibri" w:cs="Arial"/>
                  <w:sz w:val="26"/>
                  <w:szCs w:val="22"/>
                  <w:lang w:val="ru-RU" w:eastAsia="en-US" w:bidi="ar-SA"/>
                </w:rPr>
                <w:t xml:space="preserve">Приложения № 3</w:t>
              </w:r>
            </w:hyperlink>
            <w:r>
              <w:rPr>
                <w:rStyle w:val="1311"/>
                <w:rFonts w:eastAsia="Calibri" w:cs="Arial"/>
                <w:sz w:val="26"/>
                <w:szCs w:val="22"/>
                <w:lang w:val="ru-RU" w:eastAsia="en-US" w:bidi="ar-SA"/>
              </w:rPr>
              <w:t xml:space="preserve">;</w:t>
            </w:r>
            <w:r/>
          </w:p>
        </w:tc>
      </w:tr>
      <w:tr>
        <w:tblPrEx/>
        <w:trPr/>
        <w:tc>
          <w:tcPr>
            <w:tcW w:w="707" w:type="dxa"/>
            <w:textDirection w:val="lrTb"/>
            <w:noWrap w:val="false"/>
          </w:tcPr>
          <w:p>
            <w:pPr>
              <w:pStyle w:val="1342"/>
              <w:numPr>
                <w:ilvl w:val="0"/>
                <w:numId w:val="6"/>
              </w:numPr>
              <w:ind w:left="170" w:firstLine="0"/>
              <w:jc w:val="center"/>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8075" w:type="dxa"/>
            <w:textDirection w:val="lrTb"/>
            <w:noWrap w:val="false"/>
          </w:tcPr>
          <w:p>
            <w:pPr>
              <w:pStyle w:val="1342"/>
              <w:spacing w:before="60" w:after="60" w:line="240" w:lineRule="auto"/>
              <w:widowControl w:val="off"/>
            </w:pPr>
            <w:r>
              <w:rPr>
                <w:rFonts w:eastAsia="Calibri" w:cs="Arial"/>
                <w:sz w:val="26"/>
                <w:szCs w:val="22"/>
                <w:lang w:val="ru-RU" w:eastAsia="en-US" w:bidi="ar-SA"/>
              </w:rPr>
              <w:t xml:space="preserve">Документы, подтверждающие соответствие Генерального подрядчика требованиям Документации о закупке (подраздел </w:t>
            </w:r>
            <w:r>
              <w:rPr>
                <w:rFonts w:eastAsia="Calibri" w:cs="Arial"/>
                <w:sz w:val="26"/>
                <w:szCs w:val="22"/>
                <w:lang w:val="ru-RU" w:eastAsia="en-US" w:bidi="ar-SA"/>
              </w:rPr>
              <w:fldChar w:fldCharType="begin"/>
            </w:r>
            <w:r>
              <w:rPr>
                <w:rFonts w:eastAsia="Calibri" w:cs="Arial"/>
                <w:sz w:val="26"/>
                <w:szCs w:val="22"/>
                <w:lang w:val="ru-RU" w:eastAsia="en-US" w:bidi="ar-SA"/>
              </w:rPr>
              <w:instrText xml:space="preserve"> REF _Ref125709777 \r \h </w:instrText>
            </w:r>
            <w:r>
              <w:rPr>
                <w:rFonts w:eastAsia="Calibri" w:cs="Arial"/>
                <w:sz w:val="26"/>
                <w:szCs w:val="22"/>
                <w:lang w:val="ru-RU" w:eastAsia="en-US" w:bidi="ar-SA"/>
              </w:rPr>
              <w:fldChar w:fldCharType="separate"/>
            </w:r>
            <w:r>
              <w:rPr>
                <w:rFonts w:eastAsia="Calibri" w:cs="Arial"/>
                <w:sz w:val="26"/>
                <w:szCs w:val="22"/>
                <w:lang w:val="ru-RU" w:eastAsia="en-US" w:bidi="ar-SA"/>
              </w:rPr>
              <w:t xml:space="preserve">8.6</w:t>
            </w:r>
            <w:r>
              <w:rPr>
                <w:rFonts w:eastAsia="Calibri" w:cs="Arial"/>
                <w:sz w:val="26"/>
                <w:szCs w:val="22"/>
                <w:lang w:val="ru-RU" w:eastAsia="en-US" w:bidi="ar-SA"/>
              </w:rPr>
              <w:fldChar w:fldCharType="end"/>
            </w:r>
            <w:r>
              <w:rPr>
                <w:rFonts w:eastAsia="Calibri" w:cs="Arial"/>
                <w:sz w:val="26"/>
                <w:szCs w:val="22"/>
                <w:lang w:val="ru-RU" w:eastAsia="en-US" w:bidi="ar-SA"/>
              </w:rPr>
              <w:t xml:space="preserve"> </w:t>
            </w:r>
            <w:hyperlink w:tooltip="#Прил03_ТребованияУчастникам" w:anchor="Прил03_ТребованияУчастникам" w:history="1">
              <w:r>
                <w:rPr>
                  <w:rStyle w:val="1311"/>
                  <w:rFonts w:eastAsia="Calibri" w:cs="Arial"/>
                  <w:sz w:val="26"/>
                  <w:szCs w:val="22"/>
                  <w:lang w:val="ru-RU" w:eastAsia="en-US" w:bidi="ar-SA"/>
                </w:rPr>
                <w:t xml:space="preserve">Приложения № 3</w:t>
              </w:r>
            </w:hyperlink>
            <w:r>
              <w:rPr>
                <w:rFonts w:eastAsia="Calibri" w:cs="Arial"/>
                <w:sz w:val="26"/>
                <w:szCs w:val="22"/>
                <w:lang w:val="ru-RU" w:eastAsia="en-US" w:bidi="ar-SA"/>
              </w:rPr>
              <w:t xml:space="preserve">) – предоставляются, если условиями проводимой закупки (подраздел </w:t>
            </w:r>
            <w:r>
              <w:rPr>
                <w:rFonts w:eastAsia="Calibri" w:cs="Arial"/>
                <w:sz w:val="26"/>
                <w:szCs w:val="22"/>
                <w:lang w:val="ru-RU" w:eastAsia="en-US" w:bidi="ar-SA"/>
              </w:rPr>
              <w:fldChar w:fldCharType="begin"/>
            </w:r>
            <w:r>
              <w:rPr>
                <w:rFonts w:eastAsia="Calibri" w:cs="Arial"/>
                <w:sz w:val="26"/>
                <w:szCs w:val="22"/>
                <w:lang w:val="ru-RU" w:eastAsia="en-US" w:bidi="ar-SA"/>
              </w:rPr>
              <w:instrText xml:space="preserve"> REF _Ref125359973 \r \h </w:instrText>
            </w:r>
            <w:r>
              <w:rPr>
                <w:rFonts w:eastAsia="Calibri" w:cs="Arial"/>
                <w:sz w:val="26"/>
                <w:szCs w:val="22"/>
                <w:lang w:val="ru-RU" w:eastAsia="en-US" w:bidi="ar-SA"/>
              </w:rPr>
              <w:fldChar w:fldCharType="separate"/>
            </w:r>
            <w:r>
              <w:rPr>
                <w:rFonts w:eastAsia="Calibri" w:cs="Arial"/>
                <w:sz w:val="26"/>
                <w:szCs w:val="22"/>
                <w:lang w:val="ru-RU" w:eastAsia="en-US" w:bidi="ar-SA"/>
              </w:rPr>
              <w:t xml:space="preserve">1.2</w:t>
            </w:r>
            <w:r>
              <w:rPr>
                <w:rFonts w:eastAsia="Calibri" w:cs="Arial"/>
                <w:sz w:val="26"/>
                <w:szCs w:val="22"/>
                <w:lang w:val="ru-RU" w:eastAsia="en-US" w:bidi="ar-SA"/>
              </w:rPr>
              <w:fldChar w:fldCharType="end"/>
            </w:r>
            <w:r>
              <w:rPr>
                <w:rFonts w:eastAsia="Calibri" w:cs="Arial"/>
                <w:sz w:val="26"/>
                <w:szCs w:val="22"/>
                <w:lang w:val="ru-RU" w:eastAsia="en-US" w:bidi="ar-SA"/>
              </w:rPr>
              <w:t xml:space="preserve">) рассмотрение, оценка и сопоставление заявок Участников осуществляется с учетом привлекаемых субподрядчиков, и Участник подает заявку от лица Генерального подрядчика (подраздел </w:t>
            </w:r>
            <w:r>
              <w:rPr>
                <w:rFonts w:eastAsia="Calibri" w:cs="Arial"/>
                <w:sz w:val="26"/>
                <w:szCs w:val="22"/>
                <w:lang w:val="ru-RU" w:eastAsia="en-US" w:bidi="ar-SA"/>
              </w:rPr>
              <w:fldChar w:fldCharType="begin"/>
            </w:r>
            <w:r>
              <w:rPr>
                <w:rFonts w:eastAsia="Calibri" w:cs="Arial"/>
                <w:sz w:val="26"/>
                <w:szCs w:val="22"/>
                <w:lang w:val="ru-RU" w:eastAsia="en-US" w:bidi="ar-SA"/>
              </w:rPr>
              <w:instrText xml:space="preserve"> REF _Ref125361702 \r \h </w:instrText>
            </w:r>
            <w:r>
              <w:rPr>
                <w:rFonts w:eastAsia="Calibri" w:cs="Arial"/>
                <w:sz w:val="26"/>
                <w:szCs w:val="22"/>
                <w:lang w:val="ru-RU" w:eastAsia="en-US" w:bidi="ar-SA"/>
              </w:rPr>
              <w:fldChar w:fldCharType="separate"/>
            </w:r>
            <w:r>
              <w:rPr>
                <w:rFonts w:eastAsia="Calibri" w:cs="Arial"/>
                <w:sz w:val="26"/>
                <w:szCs w:val="22"/>
                <w:lang w:val="ru-RU" w:eastAsia="en-US" w:bidi="ar-SA"/>
              </w:rPr>
              <w:t xml:space="preserve">3.3</w:t>
            </w:r>
            <w:r>
              <w:rPr>
                <w:rFonts w:eastAsia="Calibri" w:cs="Arial"/>
                <w:sz w:val="26"/>
                <w:szCs w:val="22"/>
                <w:lang w:val="ru-RU" w:eastAsia="en-US" w:bidi="ar-SA"/>
              </w:rPr>
              <w:fldChar w:fldCharType="end"/>
            </w:r>
            <w:r>
              <w:rPr>
                <w:rFonts w:eastAsia="Calibri" w:cs="Arial"/>
                <w:sz w:val="26"/>
                <w:szCs w:val="22"/>
                <w:lang w:val="ru-RU" w:eastAsia="en-US" w:bidi="ar-SA"/>
              </w:rPr>
              <w:t xml:space="preserve">), а именно:</w:t>
            </w:r>
            <w:r/>
          </w:p>
          <w:p>
            <w:pPr>
              <w:pStyle w:val="1342"/>
              <w:numPr>
                <w:ilvl w:val="0"/>
                <w:numId w:val="9"/>
              </w:numPr>
              <w:ind w:left="284" w:hanging="284"/>
              <w:spacing w:before="60" w:after="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План распределения объемов поставки продукции (форма 10);</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p>
            <w:pPr>
              <w:pStyle w:val="1342"/>
              <w:numPr>
                <w:ilvl w:val="0"/>
                <w:numId w:val="9"/>
              </w:numPr>
              <w:ind w:left="284" w:hanging="284"/>
              <w:spacing w:before="0" w:after="60" w:line="240" w:lineRule="auto"/>
              <w:widowControl w:val="off"/>
            </w:pPr>
            <w:r>
              <w:rPr>
                <w:rFonts w:eastAsia="Calibri" w:cs="Arial"/>
                <w:sz w:val="26"/>
                <w:szCs w:val="22"/>
                <w:lang w:val="ru-RU" w:eastAsia="en-US" w:bidi="ar-SA"/>
              </w:rPr>
              <w:t xml:space="preserve">прочие документы, определенные в подразделе </w:t>
            </w:r>
            <w:r>
              <w:rPr>
                <w:rFonts w:eastAsia="Calibri" w:cs="Arial"/>
                <w:sz w:val="26"/>
                <w:szCs w:val="22"/>
                <w:lang w:val="ru-RU" w:eastAsia="en-US" w:bidi="ar-SA"/>
              </w:rPr>
              <w:fldChar w:fldCharType="begin"/>
            </w:r>
            <w:r>
              <w:rPr>
                <w:rFonts w:eastAsia="Calibri" w:cs="Arial"/>
                <w:sz w:val="26"/>
                <w:szCs w:val="22"/>
                <w:lang w:val="ru-RU" w:eastAsia="en-US" w:bidi="ar-SA"/>
              </w:rPr>
              <w:instrText xml:space="preserve"> REF _Ref125709777 \r \h </w:instrText>
            </w:r>
            <w:r>
              <w:rPr>
                <w:rFonts w:eastAsia="Calibri" w:cs="Arial"/>
                <w:sz w:val="26"/>
                <w:szCs w:val="22"/>
                <w:lang w:val="ru-RU" w:eastAsia="en-US" w:bidi="ar-SA"/>
              </w:rPr>
              <w:fldChar w:fldCharType="separate"/>
            </w:r>
            <w:r>
              <w:rPr>
                <w:rFonts w:eastAsia="Calibri" w:cs="Arial"/>
                <w:sz w:val="26"/>
                <w:szCs w:val="22"/>
                <w:lang w:val="ru-RU" w:eastAsia="en-US" w:bidi="ar-SA"/>
              </w:rPr>
              <w:t xml:space="preserve">8.6</w:t>
            </w:r>
            <w:r>
              <w:rPr>
                <w:rFonts w:eastAsia="Calibri" w:cs="Arial"/>
                <w:sz w:val="26"/>
                <w:szCs w:val="22"/>
                <w:lang w:val="ru-RU" w:eastAsia="en-US" w:bidi="ar-SA"/>
              </w:rPr>
              <w:fldChar w:fldCharType="end"/>
            </w:r>
            <w:r>
              <w:rPr>
                <w:rFonts w:eastAsia="Calibri" w:cs="Arial"/>
                <w:sz w:val="26"/>
                <w:szCs w:val="22"/>
                <w:lang w:val="ru-RU" w:eastAsia="en-US" w:bidi="ar-SA"/>
              </w:rPr>
              <w:t xml:space="preserve"> </w:t>
            </w:r>
            <w:hyperlink w:tooltip="#Прил03_ТребованияУчастникам" w:anchor="Прил03_ТребованияУчастникам" w:history="1">
              <w:r>
                <w:rPr>
                  <w:rStyle w:val="1311"/>
                  <w:rFonts w:eastAsia="Calibri" w:cs="Arial"/>
                  <w:sz w:val="26"/>
                  <w:szCs w:val="22"/>
                  <w:lang w:val="ru-RU" w:eastAsia="en-US" w:bidi="ar-SA"/>
                </w:rPr>
                <w:t xml:space="preserve">Приложения № 3</w:t>
              </w:r>
            </w:hyperlink>
            <w:r>
              <w:rPr>
                <w:rStyle w:val="1311"/>
                <w:rFonts w:eastAsia="Calibri" w:cs="Arial"/>
                <w:sz w:val="26"/>
                <w:szCs w:val="22"/>
                <w:lang w:val="ru-RU" w:eastAsia="en-US" w:bidi="ar-SA"/>
              </w:rPr>
              <w:t xml:space="preserve">;</w:t>
            </w:r>
            <w:r/>
          </w:p>
        </w:tc>
      </w:tr>
      <w:tr>
        <w:tblPrEx/>
        <w:trPr/>
        <w:tc>
          <w:tcPr>
            <w:tcW w:w="707" w:type="dxa"/>
            <w:textDirection w:val="lrTb"/>
            <w:noWrap w:val="false"/>
          </w:tcPr>
          <w:p>
            <w:pPr>
              <w:pStyle w:val="1342"/>
              <w:numPr>
                <w:ilvl w:val="0"/>
                <w:numId w:val="6"/>
              </w:numPr>
              <w:ind w:left="170" w:firstLine="0"/>
              <w:jc w:val="center"/>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8075" w:type="dxa"/>
            <w:textDirection w:val="lrTb"/>
            <w:noWrap w:val="false"/>
          </w:tcPr>
          <w:p>
            <w:pPr>
              <w:pStyle w:val="1342"/>
              <w:spacing w:before="60" w:after="60" w:line="240" w:lineRule="auto"/>
              <w:widowControl w:val="off"/>
            </w:pPr>
            <w:r>
              <w:rPr>
                <w:rFonts w:eastAsia="Calibri" w:cs="Arial"/>
                <w:sz w:val="26"/>
                <w:szCs w:val="22"/>
                <w:lang w:val="ru-RU" w:eastAsia="en-US" w:bidi="ar-SA"/>
              </w:rPr>
              <w:t xml:space="preserve">Документы, подтверждающие соответствие Генерального подрядчика с обязательным привлечением субподрядчиков (соисполнителей) из числа субъектов МСП требованиям Документации о закупке (подраздел </w:t>
            </w:r>
            <w:r>
              <w:rPr>
                <w:rFonts w:eastAsia="Calibri" w:cs="Arial"/>
                <w:sz w:val="26"/>
                <w:szCs w:val="22"/>
                <w:lang w:val="ru-RU" w:eastAsia="en-US" w:bidi="ar-SA"/>
              </w:rPr>
              <w:fldChar w:fldCharType="begin"/>
            </w:r>
            <w:r>
              <w:rPr>
                <w:rFonts w:eastAsia="Calibri" w:cs="Arial"/>
                <w:sz w:val="26"/>
                <w:szCs w:val="22"/>
                <w:lang w:val="ru-RU" w:eastAsia="en-US" w:bidi="ar-SA"/>
              </w:rPr>
              <w:instrText xml:space="preserve"> REF _Ref125710459 \r \h </w:instrText>
            </w:r>
            <w:r>
              <w:rPr>
                <w:rFonts w:eastAsia="Calibri" w:cs="Arial"/>
                <w:sz w:val="26"/>
                <w:szCs w:val="22"/>
                <w:lang w:val="ru-RU" w:eastAsia="en-US" w:bidi="ar-SA"/>
              </w:rPr>
              <w:fldChar w:fldCharType="separate"/>
            </w:r>
            <w:r>
              <w:rPr>
                <w:rFonts w:eastAsia="Calibri" w:cs="Arial"/>
                <w:sz w:val="26"/>
                <w:szCs w:val="22"/>
                <w:lang w:val="ru-RU" w:eastAsia="en-US" w:bidi="ar-SA"/>
              </w:rPr>
              <w:t xml:space="preserve">8.7</w:t>
            </w:r>
            <w:r>
              <w:rPr>
                <w:rFonts w:eastAsia="Calibri" w:cs="Arial"/>
                <w:sz w:val="26"/>
                <w:szCs w:val="22"/>
                <w:lang w:val="ru-RU" w:eastAsia="en-US" w:bidi="ar-SA"/>
              </w:rPr>
              <w:fldChar w:fldCharType="end"/>
            </w:r>
            <w:r>
              <w:rPr>
                <w:rFonts w:eastAsia="Calibri" w:cs="Arial"/>
                <w:sz w:val="26"/>
                <w:szCs w:val="22"/>
                <w:lang w:val="ru-RU" w:eastAsia="en-US" w:bidi="ar-SA"/>
              </w:rPr>
              <w:t xml:space="preserve"> </w:t>
            </w:r>
            <w:hyperlink w:tooltip="#Прил03_ТребованияУчастникам" w:anchor="Прил03_ТребованияУчастникам" w:history="1">
              <w:r>
                <w:rPr>
                  <w:rStyle w:val="1311"/>
                  <w:rFonts w:eastAsia="Calibri" w:cs="Arial"/>
                  <w:sz w:val="26"/>
                  <w:szCs w:val="22"/>
                  <w:lang w:val="ru-RU" w:eastAsia="en-US" w:bidi="ar-SA"/>
                </w:rPr>
                <w:t xml:space="preserve">Приложения № 3</w:t>
              </w:r>
            </w:hyperlink>
            <w:r>
              <w:rPr>
                <w:rFonts w:eastAsia="Calibri" w:cs="Arial"/>
                <w:sz w:val="26"/>
                <w:szCs w:val="22"/>
                <w:lang w:val="ru-RU" w:eastAsia="en-US" w:bidi="ar-SA"/>
              </w:rPr>
              <w:t xml:space="preserve">) – предоставляются, если условиями проводимой закупки (подраздел </w:t>
            </w:r>
            <w:r>
              <w:rPr>
                <w:rFonts w:eastAsia="Calibri" w:cs="Arial"/>
                <w:sz w:val="26"/>
                <w:szCs w:val="22"/>
                <w:lang w:val="ru-RU" w:eastAsia="en-US" w:bidi="ar-SA"/>
              </w:rPr>
              <w:fldChar w:fldCharType="begin"/>
            </w:r>
            <w:r>
              <w:rPr>
                <w:rFonts w:eastAsia="Calibri" w:cs="Arial"/>
                <w:sz w:val="26"/>
                <w:szCs w:val="22"/>
                <w:lang w:val="ru-RU" w:eastAsia="en-US" w:bidi="ar-SA"/>
              </w:rPr>
              <w:instrText xml:space="preserve"> REF _Ref125359973 \r \h </w:instrText>
            </w:r>
            <w:r>
              <w:rPr>
                <w:rFonts w:eastAsia="Calibri" w:cs="Arial"/>
                <w:sz w:val="26"/>
                <w:szCs w:val="22"/>
                <w:lang w:val="ru-RU" w:eastAsia="en-US" w:bidi="ar-SA"/>
              </w:rPr>
              <w:fldChar w:fldCharType="separate"/>
            </w:r>
            <w:r>
              <w:rPr>
                <w:rFonts w:eastAsia="Calibri" w:cs="Arial"/>
                <w:sz w:val="26"/>
                <w:szCs w:val="22"/>
                <w:lang w:val="ru-RU" w:eastAsia="en-US" w:bidi="ar-SA"/>
              </w:rPr>
              <w:t xml:space="preserve">1.2</w:t>
            </w:r>
            <w:r>
              <w:rPr>
                <w:rFonts w:eastAsia="Calibri" w:cs="Arial"/>
                <w:sz w:val="26"/>
                <w:szCs w:val="22"/>
                <w:lang w:val="ru-RU" w:eastAsia="en-US" w:bidi="ar-SA"/>
              </w:rPr>
              <w:fldChar w:fldCharType="end"/>
            </w:r>
            <w:r>
              <w:rPr>
                <w:rFonts w:eastAsia="Calibri" w:cs="Arial"/>
                <w:sz w:val="26"/>
                <w:szCs w:val="22"/>
                <w:lang w:val="ru-RU" w:eastAsia="en-US" w:bidi="ar-SA"/>
              </w:rPr>
              <w:t xml:space="preserve">) предусмотрено участие в закупке Участников, которые должны привлечь к исполнению Договора субподрядчиков (соисполнителей) из числа субъектов МСП (подраздел </w:t>
            </w:r>
            <w:r>
              <w:rPr>
                <w:rFonts w:eastAsia="Calibri" w:cs="Arial"/>
                <w:sz w:val="26"/>
                <w:szCs w:val="22"/>
                <w:lang w:val="ru-RU" w:eastAsia="en-US" w:bidi="ar-SA"/>
              </w:rPr>
              <w:fldChar w:fldCharType="begin"/>
            </w:r>
            <w:r>
              <w:rPr>
                <w:rFonts w:eastAsia="Calibri" w:cs="Arial"/>
                <w:sz w:val="26"/>
                <w:szCs w:val="22"/>
                <w:lang w:val="ru-RU" w:eastAsia="en-US" w:bidi="ar-SA"/>
              </w:rPr>
              <w:instrText xml:space="preserve"> REF _Ref127524203 \r \h </w:instrText>
            </w:r>
            <w:r>
              <w:rPr>
                <w:rFonts w:eastAsia="Calibri" w:cs="Arial"/>
                <w:sz w:val="26"/>
                <w:szCs w:val="22"/>
                <w:lang w:val="ru-RU" w:eastAsia="en-US" w:bidi="ar-SA"/>
              </w:rPr>
              <w:fldChar w:fldCharType="separate"/>
            </w:r>
            <w:r>
              <w:rPr>
                <w:rFonts w:eastAsia="Calibri" w:cs="Arial"/>
                <w:sz w:val="26"/>
                <w:szCs w:val="22"/>
                <w:lang w:val="ru-RU" w:eastAsia="en-US" w:bidi="ar-SA"/>
              </w:rPr>
              <w:t xml:space="preserve">3.4</w:t>
            </w:r>
            <w:r>
              <w:rPr>
                <w:rFonts w:eastAsia="Calibri" w:cs="Arial"/>
                <w:sz w:val="26"/>
                <w:szCs w:val="22"/>
                <w:lang w:val="ru-RU" w:eastAsia="en-US" w:bidi="ar-SA"/>
              </w:rPr>
              <w:fldChar w:fldCharType="end"/>
            </w:r>
            <w:r>
              <w:rPr>
                <w:rFonts w:eastAsia="Calibri" w:cs="Arial"/>
                <w:sz w:val="26"/>
                <w:szCs w:val="22"/>
                <w:lang w:val="ru-RU" w:eastAsia="en-US" w:bidi="ar-SA"/>
              </w:rPr>
              <w:t xml:space="preserve">), а именно План распределения объемов поставки продукции (форма 10);</w:t>
            </w:r>
            <w:r/>
          </w:p>
        </w:tc>
      </w:tr>
      <w:tr>
        <w:tblPrEx/>
        <w:trPr/>
        <w:tc>
          <w:tcPr>
            <w:tcW w:w="707" w:type="dxa"/>
            <w:textDirection w:val="lrTb"/>
            <w:noWrap w:val="false"/>
          </w:tcPr>
          <w:p>
            <w:pPr>
              <w:pStyle w:val="1342"/>
              <w:numPr>
                <w:ilvl w:val="0"/>
                <w:numId w:val="6"/>
              </w:numPr>
              <w:ind w:left="170" w:firstLine="0"/>
              <w:jc w:val="center"/>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8075" w:type="dxa"/>
            <w:textDirection w:val="lrTb"/>
            <w:noWrap w:val="false"/>
          </w:tcPr>
          <w:p>
            <w:pPr>
              <w:pStyle w:val="1342"/>
              <w:spacing w:before="60" w:after="60" w:line="240" w:lineRule="auto"/>
              <w:widowControl w:val="off"/>
            </w:pPr>
            <w:r>
              <w:rPr>
                <w:rFonts w:eastAsia="Calibri" w:cs="Arial"/>
                <w:sz w:val="26"/>
                <w:szCs w:val="22"/>
                <w:lang w:val="ru-RU" w:eastAsia="en-US" w:bidi="ar-SA"/>
              </w:rPr>
              <w:t xml:space="preserve">Документы (или их копии), подтверждающие соответствие предлагаемой к поставке продукции требованиям, установленным в </w:t>
            </w:r>
            <w:hyperlink w:tooltip="#Прил01_ТехТребования" w:anchor="Прил01_ТехТребования" w:history="1">
              <w:r>
                <w:rPr>
                  <w:rStyle w:val="1311"/>
                  <w:rFonts w:eastAsia="Calibri" w:cs="Arial"/>
                  <w:sz w:val="26"/>
                  <w:szCs w:val="22"/>
                  <w:lang w:val="ru-RU" w:eastAsia="en-US" w:bidi="ar-SA"/>
                </w:rPr>
                <w:t xml:space="preserve">Технических требованиях (Приложение № 1)</w:t>
              </w:r>
            </w:hyperlink>
            <w:r>
              <w:rPr>
                <w:rFonts w:eastAsia="Calibri" w:cs="Arial"/>
                <w:sz w:val="26"/>
                <w:szCs w:val="22"/>
                <w:lang w:val="ru-RU" w:eastAsia="en-US" w:bidi="ar-SA"/>
              </w:rPr>
              <w:t xml:space="preserve"> – предоставляются, если в </w:t>
            </w:r>
            <w:hyperlink w:tooltip="#Прил01_ТехТребования" w:anchor="Прил01_ТехТребования" w:history="1">
              <w:r>
                <w:rPr>
                  <w:rStyle w:val="1311"/>
                  <w:rFonts w:eastAsia="Calibri" w:cs="Arial"/>
                  <w:sz w:val="26"/>
                  <w:szCs w:val="22"/>
                  <w:lang w:val="ru-RU" w:eastAsia="en-US" w:bidi="ar-SA"/>
                </w:rPr>
                <w:t xml:space="preserve">Технических требованиях (Приложение № 1)</w:t>
              </w:r>
            </w:hyperlink>
            <w:r>
              <w:rPr>
                <w:rFonts w:eastAsia="Calibri" w:cs="Arial"/>
                <w:sz w:val="26"/>
                <w:szCs w:val="22"/>
                <w:lang w:val="ru-RU" w:eastAsia="en-US" w:bidi="ar-SA"/>
              </w:rPr>
              <w:t xml:space="preserve"> было установлено соответствующее требование;</w:t>
            </w:r>
            <w:r/>
          </w:p>
        </w:tc>
      </w:tr>
    </w:tbl>
    <w:p>
      <w:pPr>
        <w:pStyle w:val="1338"/>
        <w:spacing w:before="120" w:after="0"/>
        <w:rPr>
          <w:rStyle w:val="1304"/>
          <w:i w:val="0"/>
          <w:iCs w:val="0"/>
          <w:shd w:val="clear" w:color="auto" w:fill="auto"/>
        </w:rPr>
        <w:sectPr>
          <w:headerReference w:type="default" r:id="rId16"/>
          <w:headerReference w:type="first" r:id="rId17"/>
          <w:footerReference w:type="default" r:id="rId31"/>
          <w:footerReference w:type="first" r:id="rId32"/>
          <w:footnotePr>
            <w:numFmt w:val="decimal"/>
          </w:footnotePr>
          <w:endnotePr/>
          <w:type w:val="nextPage"/>
          <w:pgSz w:w="11906" w:h="16838" w:orient="portrait"/>
          <w:pgMar w:top="851" w:right="850" w:bottom="851" w:left="1134" w:header="567" w:footer="567" w:gutter="0"/>
          <w:cols w:num="1" w:sep="0" w:space="1701" w:equalWidth="1"/>
          <w:docGrid w:linePitch="360"/>
        </w:sectPr>
      </w:pPr>
      <w:r>
        <w:rPr>
          <w:rStyle w:val="1304"/>
          <w:i w:val="0"/>
          <w:iCs w:val="0"/>
          <w:shd w:val="clear" w:color="auto" w:fill="auto"/>
        </w:rPr>
        <w:t xml:space="preserve">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w:t>
      </w:r>
      <w:r>
        <w:rPr>
          <w:rStyle w:val="1304"/>
          <w:i w:val="0"/>
          <w:iCs w:val="0"/>
          <w:shd w:val="clear" w:color="auto" w:fill="auto"/>
        </w:rPr>
        <w:t xml:space="preserve">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Pr>
          <w:rStyle w:val="1304"/>
          <w:i w:val="0"/>
          <w:iCs w:val="0"/>
          <w:shd w:val="clear" w:color="auto" w:fill="auto"/>
        </w:rPr>
      </w:r>
      <w:r>
        <w:rPr>
          <w:rStyle w:val="1304"/>
          <w:i w:val="0"/>
          <w:iCs w:val="0"/>
          <w:shd w:val="clear" w:color="auto" w:fill="auto"/>
        </w:rPr>
      </w:r>
    </w:p>
    <w:p>
      <w:pPr>
        <w:pStyle w:val="1336"/>
        <w:spacing w:before="0" w:after="0"/>
      </w:pPr>
      <w:r/>
      <w:bookmarkStart w:id="395" w:name="_Toc230928886"/>
      <w:r/>
      <w:bookmarkStart w:id="396" w:name="_Ref125365264"/>
      <w:r/>
      <w:bookmarkStart w:id="397" w:name="Прил07_ОтборочныеКритерии"/>
      <w:r/>
      <w:bookmarkEnd w:id="397"/>
      <w:r>
        <w:t xml:space="preserve">Приложение № 7 – Отборочные критерии рассмотрения заявок</w:t>
      </w:r>
      <w:bookmarkEnd w:id="395"/>
      <w:r/>
      <w:bookmarkEnd w:id="396"/>
      <w:r/>
      <w:r/>
    </w:p>
    <w:p>
      <w:pPr>
        <w:pStyle w:val="1337"/>
        <w:spacing w:before="360" w:after="120"/>
        <w:rPr>
          <w:rStyle w:val="1304"/>
          <w:i w:val="0"/>
          <w:iCs w:val="0"/>
          <w:shd w:val="clear" w:color="auto" w:fill="auto"/>
        </w:rPr>
      </w:pPr>
      <w:r/>
      <w:bookmarkStart w:id="398" w:name="_Toc230928887"/>
      <w:r>
        <w:rPr>
          <w:rStyle w:val="1304"/>
          <w:i w:val="0"/>
          <w:iCs w:val="0"/>
          <w:shd w:val="clear" w:color="auto" w:fill="auto"/>
        </w:rPr>
        <w:t xml:space="preserve">Отборочные критерии рассмотрения заявок</w:t>
      </w:r>
      <w:bookmarkEnd w:id="398"/>
      <w:r>
        <w:rPr>
          <w:rStyle w:val="1304"/>
          <w:i w:val="0"/>
          <w:iCs w:val="0"/>
          <w:shd w:val="clear" w:color="auto" w:fill="auto"/>
        </w:rPr>
      </w:r>
      <w:r>
        <w:rPr>
          <w:rStyle w:val="1304"/>
          <w:i w:val="0"/>
          <w:iCs w:val="0"/>
          <w:shd w:val="clear" w:color="auto" w:fill="auto"/>
        </w:rPr>
      </w:r>
    </w:p>
    <w:tbl>
      <w:tblPr>
        <w:tblStyle w:val="1505"/>
        <w:tblW w:w="15126" w:type="dxa"/>
        <w:tblInd w:w="0" w:type="dxa"/>
        <w:tblLayout w:type="fixed"/>
        <w:tblCellMar>
          <w:left w:w="57" w:type="dxa"/>
          <w:top w:w="0" w:type="dxa"/>
          <w:right w:w="57" w:type="dxa"/>
          <w:bottom w:w="0" w:type="dxa"/>
        </w:tblCellMar>
        <w:tblLook w:val="04A0" w:firstRow="1" w:lastRow="0" w:firstColumn="1" w:lastColumn="0" w:noHBand="0" w:noVBand="1"/>
      </w:tblPr>
      <w:tblGrid>
        <w:gridCol w:w="1412"/>
        <w:gridCol w:w="8506"/>
        <w:gridCol w:w="3117"/>
        <w:gridCol w:w="2090"/>
      </w:tblGrid>
      <w:tr>
        <w:tblPrEx/>
        <w:trPr/>
        <w:tc>
          <w:tcPr>
            <w:tcW w:w="1412" w:type="dxa"/>
            <w:textDirection w:val="lrTb"/>
            <w:noWrap w:val="false"/>
          </w:tcPr>
          <w:p>
            <w:pPr>
              <w:pStyle w:val="1342"/>
              <w:jc w:val="center"/>
              <w:keepLines w:val="0"/>
              <w:keepNext/>
              <w:spacing w:before="60" w:after="60" w:line="240" w:lineRule="auto"/>
              <w:widowControl w:val="off"/>
              <w:rPr>
                <w:rFonts w:ascii="Times New Roman" w:hAnsi="Times New Roman" w:eastAsia="Calibri" w:cs="Arial"/>
                <w:b/>
                <w:sz w:val="26"/>
                <w:szCs w:val="22"/>
                <w:lang w:val="ru-RU" w:eastAsia="en-US" w:bidi="ar-SA"/>
              </w:rPr>
            </w:pPr>
            <w:r>
              <w:rPr>
                <w:rFonts w:eastAsia="Calibri" w:cs="Arial"/>
                <w:b/>
                <w:sz w:val="26"/>
                <w:szCs w:val="22"/>
                <w:lang w:val="ru-RU" w:eastAsia="en-US" w:bidi="ar-SA"/>
              </w:rPr>
              <w:t xml:space="preserve">Номер</w:t>
              <w:br/>
              <w:t xml:space="preserve">критерия</w:t>
            </w:r>
            <w:r>
              <w:rPr>
                <w:rFonts w:ascii="Times New Roman" w:hAnsi="Times New Roman" w:eastAsia="Calibri" w:cs="Arial"/>
                <w:b/>
                <w:sz w:val="26"/>
                <w:szCs w:val="22"/>
                <w:lang w:val="ru-RU" w:eastAsia="en-US" w:bidi="ar-SA"/>
              </w:rPr>
            </w:r>
            <w:r>
              <w:rPr>
                <w:rFonts w:ascii="Times New Roman" w:hAnsi="Times New Roman" w:eastAsia="Calibri" w:cs="Arial"/>
                <w:b/>
                <w:sz w:val="26"/>
                <w:szCs w:val="22"/>
                <w:lang w:val="ru-RU" w:eastAsia="en-US" w:bidi="ar-SA"/>
              </w:rPr>
            </w:r>
          </w:p>
        </w:tc>
        <w:tc>
          <w:tcPr>
            <w:tcW w:w="8506" w:type="dxa"/>
            <w:textDirection w:val="lrTb"/>
            <w:noWrap w:val="false"/>
          </w:tcPr>
          <w:p>
            <w:pPr>
              <w:pStyle w:val="1342"/>
              <w:jc w:val="center"/>
              <w:keepLines w:val="0"/>
              <w:keepNext/>
              <w:spacing w:before="60" w:after="60" w:line="240" w:lineRule="auto"/>
              <w:widowControl w:val="off"/>
              <w:rPr>
                <w:rFonts w:ascii="Times New Roman" w:hAnsi="Times New Roman" w:eastAsia="Calibri" w:cs="Arial"/>
                <w:b/>
                <w:sz w:val="26"/>
                <w:szCs w:val="22"/>
                <w:lang w:val="ru-RU" w:eastAsia="en-US" w:bidi="ar-SA"/>
              </w:rPr>
            </w:pPr>
            <w:r>
              <w:rPr>
                <w:rFonts w:eastAsia="Calibri" w:cs="Arial"/>
                <w:b/>
                <w:sz w:val="26"/>
                <w:szCs w:val="22"/>
                <w:lang w:val="ru-RU" w:eastAsia="en-US" w:bidi="ar-SA"/>
              </w:rPr>
              <w:t xml:space="preserve">Наименование</w:t>
              <w:br/>
              <w:t xml:space="preserve">отборочного критерия</w:t>
            </w:r>
            <w:r>
              <w:rPr>
                <w:rFonts w:ascii="Times New Roman" w:hAnsi="Times New Roman" w:eastAsia="Calibri" w:cs="Arial"/>
                <w:b/>
                <w:sz w:val="26"/>
                <w:szCs w:val="22"/>
                <w:lang w:val="ru-RU" w:eastAsia="en-US" w:bidi="ar-SA"/>
              </w:rPr>
            </w:r>
            <w:r>
              <w:rPr>
                <w:rFonts w:ascii="Times New Roman" w:hAnsi="Times New Roman" w:eastAsia="Calibri" w:cs="Arial"/>
                <w:b/>
                <w:sz w:val="26"/>
                <w:szCs w:val="22"/>
                <w:lang w:val="ru-RU" w:eastAsia="en-US" w:bidi="ar-SA"/>
              </w:rPr>
            </w:r>
          </w:p>
        </w:tc>
        <w:tc>
          <w:tcPr>
            <w:tcW w:w="3117" w:type="dxa"/>
            <w:textDirection w:val="lrTb"/>
            <w:noWrap w:val="false"/>
          </w:tcPr>
          <w:p>
            <w:pPr>
              <w:pStyle w:val="1342"/>
              <w:jc w:val="center"/>
              <w:keepLines w:val="0"/>
              <w:keepNext/>
              <w:spacing w:before="60" w:after="60" w:line="240" w:lineRule="auto"/>
              <w:widowControl w:val="off"/>
              <w:rPr>
                <w:rFonts w:ascii="Times New Roman" w:hAnsi="Times New Roman" w:eastAsia="Calibri" w:cs="Arial"/>
                <w:b/>
                <w:sz w:val="26"/>
                <w:szCs w:val="22"/>
                <w:lang w:val="ru-RU" w:eastAsia="en-US" w:bidi="ar-SA"/>
              </w:rPr>
            </w:pPr>
            <w:r>
              <w:rPr>
                <w:rFonts w:eastAsia="Calibri" w:cs="Arial"/>
                <w:b/>
                <w:sz w:val="26"/>
                <w:szCs w:val="22"/>
                <w:lang w:val="ru-RU" w:eastAsia="en-US" w:bidi="ar-SA"/>
              </w:rPr>
              <w:t xml:space="preserve">Номер пункта</w:t>
              <w:br/>
              <w:t xml:space="preserve">Документации о закупке</w:t>
            </w:r>
            <w:r>
              <w:rPr>
                <w:rFonts w:ascii="Times New Roman" w:hAnsi="Times New Roman" w:eastAsia="Calibri" w:cs="Arial"/>
                <w:b/>
                <w:sz w:val="26"/>
                <w:szCs w:val="22"/>
                <w:lang w:val="ru-RU" w:eastAsia="en-US" w:bidi="ar-SA"/>
              </w:rPr>
            </w:r>
            <w:r>
              <w:rPr>
                <w:rFonts w:ascii="Times New Roman" w:hAnsi="Times New Roman" w:eastAsia="Calibri" w:cs="Arial"/>
                <w:b/>
                <w:sz w:val="26"/>
                <w:szCs w:val="22"/>
                <w:lang w:val="ru-RU" w:eastAsia="en-US" w:bidi="ar-SA"/>
              </w:rPr>
            </w:r>
          </w:p>
        </w:tc>
        <w:tc>
          <w:tcPr>
            <w:tcW w:w="2090" w:type="dxa"/>
            <w:textDirection w:val="lrTb"/>
            <w:noWrap w:val="false"/>
          </w:tcPr>
          <w:p>
            <w:pPr>
              <w:pStyle w:val="1342"/>
              <w:jc w:val="center"/>
              <w:keepLines w:val="0"/>
              <w:keepNext/>
              <w:spacing w:before="60" w:after="60" w:line="240" w:lineRule="auto"/>
              <w:widowControl w:val="off"/>
              <w:rPr>
                <w:rFonts w:ascii="Times New Roman" w:hAnsi="Times New Roman" w:eastAsia="Calibri" w:cs="Arial"/>
                <w:b/>
                <w:sz w:val="26"/>
                <w:szCs w:val="22"/>
                <w:lang w:val="ru-RU" w:eastAsia="en-US" w:bidi="ar-SA"/>
              </w:rPr>
            </w:pPr>
            <w:r>
              <w:rPr>
                <w:rFonts w:eastAsia="Calibri" w:cs="Arial"/>
                <w:b/>
                <w:sz w:val="26"/>
                <w:szCs w:val="22"/>
                <w:lang w:val="ru-RU" w:eastAsia="en-US" w:bidi="ar-SA"/>
              </w:rPr>
              <w:t xml:space="preserve">Направления</w:t>
              <w:br/>
              <w:t xml:space="preserve">оценки заявок*</w:t>
            </w:r>
            <w:r>
              <w:rPr>
                <w:rFonts w:ascii="Times New Roman" w:hAnsi="Times New Roman" w:eastAsia="Calibri" w:cs="Arial"/>
                <w:b/>
                <w:sz w:val="26"/>
                <w:szCs w:val="22"/>
                <w:lang w:val="ru-RU" w:eastAsia="en-US" w:bidi="ar-SA"/>
              </w:rPr>
            </w:r>
            <w:r>
              <w:rPr>
                <w:rFonts w:ascii="Times New Roman" w:hAnsi="Times New Roman" w:eastAsia="Calibri" w:cs="Arial"/>
                <w:b/>
                <w:sz w:val="26"/>
                <w:szCs w:val="22"/>
                <w:lang w:val="ru-RU" w:eastAsia="en-US" w:bidi="ar-SA"/>
              </w:rPr>
            </w:r>
          </w:p>
        </w:tc>
      </w:tr>
      <w:tr>
        <w:tblPrEx/>
        <w:trPr/>
        <w:tc>
          <w:tcPr>
            <w:gridSpan w:val="2"/>
            <w:tcW w:w="9918" w:type="dxa"/>
            <w:textDirection w:val="lrTb"/>
            <w:noWrap w:val="false"/>
          </w:tcPr>
          <w:p>
            <w:pPr>
              <w:pStyle w:val="1342"/>
              <w:keepNext/>
              <w:spacing w:before="60" w:after="60" w:line="240" w:lineRule="auto"/>
              <w:widowControl w:val="off"/>
              <w:rPr>
                <w:b/>
                <w:bCs/>
              </w:rPr>
            </w:pPr>
            <w:r>
              <w:rPr>
                <w:rFonts w:eastAsia="Calibri" w:cs="Arial"/>
                <w:b/>
                <w:bCs/>
                <w:sz w:val="26"/>
                <w:szCs w:val="22"/>
                <w:lang w:val="ru-RU" w:eastAsia="en-US" w:bidi="ar-SA"/>
              </w:rPr>
              <w:t xml:space="preserve">Состав заявки и правильность ее оформления, в том числе:</w:t>
            </w:r>
            <w:r>
              <w:rPr>
                <w:b/>
                <w:bCs/>
              </w:rPr>
            </w:r>
            <w:r>
              <w:rPr>
                <w:b/>
                <w:bCs/>
              </w:rPr>
            </w:r>
          </w:p>
        </w:tc>
        <w:tc>
          <w:tcPr>
            <w:tcW w:w="3117" w:type="dxa"/>
            <w:textDirection w:val="lrTb"/>
            <w:noWrap w:val="false"/>
          </w:tcPr>
          <w:p>
            <w:pPr>
              <w:pStyle w:val="1342"/>
              <w:jc w:val="center"/>
              <w:spacing w:before="60" w:after="60" w:line="240" w:lineRule="auto"/>
              <w:widowControl w:val="off"/>
              <w:rPr>
                <w:b/>
                <w:bCs/>
              </w:rPr>
            </w:pPr>
            <w:r>
              <w:rPr>
                <w:rFonts w:eastAsia="Calibri" w:cs="Arial"/>
                <w:b/>
                <w:bCs/>
                <w:sz w:val="26"/>
                <w:szCs w:val="22"/>
                <w:lang w:val="ru-RU" w:eastAsia="en-US" w:bidi="ar-SA"/>
              </w:rPr>
              <w:t xml:space="preserve">–</w:t>
            </w:r>
            <w:r>
              <w:rPr>
                <w:b/>
                <w:bCs/>
              </w:rPr>
            </w:r>
            <w:r>
              <w:rPr>
                <w:b/>
                <w:bCs/>
              </w:rPr>
            </w:r>
          </w:p>
        </w:tc>
        <w:tc>
          <w:tcPr>
            <w:tcW w:w="2090" w:type="dxa"/>
            <w:textDirection w:val="lrTb"/>
            <w:noWrap w:val="false"/>
          </w:tcPr>
          <w:p>
            <w:pPr>
              <w:pStyle w:val="1342"/>
              <w:jc w:val="center"/>
              <w:spacing w:before="60" w:after="60" w:line="240" w:lineRule="auto"/>
              <w:widowControl w:val="off"/>
              <w:rPr>
                <w:b/>
                <w:bCs/>
              </w:rPr>
            </w:pPr>
            <w:r>
              <w:rPr>
                <w:rFonts w:eastAsia="Calibri" w:cs="Arial"/>
                <w:b/>
                <w:bCs/>
                <w:sz w:val="26"/>
                <w:szCs w:val="22"/>
                <w:lang w:val="ru-RU" w:eastAsia="en-US" w:bidi="ar-SA"/>
              </w:rPr>
              <w:t xml:space="preserve">–</w:t>
            </w:r>
            <w:r>
              <w:rPr>
                <w:b/>
                <w:bCs/>
              </w:rPr>
            </w:r>
            <w:r>
              <w:rPr>
                <w:b/>
                <w:bCs/>
              </w:rPr>
            </w:r>
          </w:p>
        </w:tc>
      </w:tr>
      <w:tr>
        <w:tblPrEx/>
        <w:trPr/>
        <w:tc>
          <w:tcPr>
            <w:tcW w:w="1412" w:type="dxa"/>
            <w:textDirection w:val="lrTb"/>
            <w:noWrap w:val="false"/>
          </w:tcPr>
          <w:p>
            <w:pPr>
              <w:pStyle w:val="1342"/>
              <w:numPr>
                <w:ilvl w:val="0"/>
                <w:numId w:val="7"/>
              </w:numPr>
              <w:ind w:left="170" w:firstLine="0"/>
              <w:jc w:val="center"/>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8506" w:type="dxa"/>
            <w:textDirection w:val="lrTb"/>
            <w:noWrap w:val="false"/>
          </w:tcPr>
          <w:p>
            <w:pPr>
              <w:pStyle w:val="1342"/>
              <w:spacing w:before="60" w:after="60" w:line="240" w:lineRule="auto"/>
              <w:widowControl w:val="off"/>
            </w:pPr>
            <w:r>
              <w:rPr>
                <w:rFonts w:eastAsia="Calibri" w:cs="Arial"/>
                <w:sz w:val="26"/>
                <w:szCs w:val="22"/>
                <w:lang w:val="ru-RU" w:eastAsia="en-US" w:bidi="ar-SA"/>
              </w:rPr>
              <w:t xml:space="preserve">Наличие в составе заявки обязательных к предоставлению (для целей рассмотрения заявок в рамках отборочной стадии) документов в соответствии с требованиями </w:t>
            </w:r>
            <w:hyperlink w:tooltip="#Прил06_СоставЗаявки" w:anchor="Прил06_СоставЗаявки" w:history="1">
              <w:r>
                <w:rPr>
                  <w:rStyle w:val="1311"/>
                  <w:rFonts w:eastAsia="Calibri" w:cs="Arial"/>
                  <w:sz w:val="26"/>
                  <w:szCs w:val="22"/>
                  <w:lang w:val="ru-RU" w:eastAsia="en-US" w:bidi="ar-SA"/>
                </w:rPr>
                <w:t xml:space="preserve">Приложения № 6 «Состав заявки»</w:t>
              </w:r>
            </w:hyperlink>
            <w:r>
              <w:rPr>
                <w:rFonts w:eastAsia="Calibri" w:cs="Arial"/>
                <w:sz w:val="26"/>
                <w:szCs w:val="22"/>
                <w:lang w:val="ru-RU" w:eastAsia="en-US" w:bidi="ar-SA"/>
              </w:rPr>
              <w:t xml:space="preserve">, а также правильность их оформления (в т.ч. в части наличия должных печатей, подписей, формы заверения, языка и валюты заявки)</w:t>
            </w:r>
            <w:r/>
          </w:p>
        </w:tc>
        <w:tc>
          <w:tcPr>
            <w:tcW w:w="3117" w:type="dxa"/>
            <w:textDirection w:val="lrTb"/>
            <w:noWrap w:val="false"/>
          </w:tcPr>
          <w:p>
            <w:pPr>
              <w:pStyle w:val="1342"/>
              <w:jc w:val="center"/>
              <w:spacing w:before="60" w:after="60" w:line="240" w:lineRule="auto"/>
              <w:widowControl w:val="off"/>
              <w:rPr>
                <w:rStyle w:val="1311"/>
              </w:rPr>
            </w:pPr>
            <w:r>
              <w:rPr>
                <w:rFonts w:eastAsia="Calibri" w:cs="Arial"/>
                <w:sz w:val="26"/>
                <w:szCs w:val="22"/>
                <w:lang w:val="ru-RU" w:eastAsia="en-US" w:bidi="ar-SA"/>
              </w:rPr>
              <w:t xml:space="preserve">подразделы </w:t>
            </w:r>
            <w:r>
              <w:rPr>
                <w:rFonts w:eastAsia="Calibri" w:cs="Arial"/>
                <w:sz w:val="26"/>
                <w:szCs w:val="22"/>
                <w:lang w:val="ru-RU" w:eastAsia="en-US" w:bidi="ar-SA"/>
              </w:rPr>
              <w:fldChar w:fldCharType="begin"/>
            </w:r>
            <w:r>
              <w:rPr>
                <w:rFonts w:eastAsia="Calibri" w:cs="Arial"/>
                <w:sz w:val="26"/>
                <w:szCs w:val="22"/>
                <w:lang w:val="ru-RU" w:eastAsia="en-US" w:bidi="ar-SA"/>
              </w:rPr>
              <w:instrText xml:space="preserve"> REF _Ref130394681 \r \h </w:instrText>
            </w:r>
            <w:r>
              <w:rPr>
                <w:rFonts w:eastAsia="Calibri" w:cs="Arial"/>
                <w:sz w:val="26"/>
                <w:szCs w:val="22"/>
                <w:lang w:val="ru-RU" w:eastAsia="en-US" w:bidi="ar-SA"/>
              </w:rPr>
              <w:fldChar w:fldCharType="separate"/>
            </w:r>
            <w:r>
              <w:rPr>
                <w:rFonts w:eastAsia="Calibri" w:cs="Arial"/>
                <w:sz w:val="26"/>
                <w:szCs w:val="22"/>
                <w:lang w:val="ru-RU" w:eastAsia="en-US" w:bidi="ar-SA"/>
              </w:rPr>
              <w:t xml:space="preserve">4.3</w:t>
            </w:r>
            <w:r>
              <w:rPr>
                <w:rFonts w:eastAsia="Calibri" w:cs="Arial"/>
                <w:sz w:val="26"/>
                <w:szCs w:val="22"/>
                <w:lang w:val="ru-RU" w:eastAsia="en-US" w:bidi="ar-SA"/>
              </w:rPr>
              <w:fldChar w:fldCharType="end"/>
            </w:r>
            <w:r>
              <w:rPr>
                <w:rFonts w:eastAsia="Calibri" w:cs="Arial"/>
                <w:sz w:val="26"/>
                <w:szCs w:val="22"/>
                <w:lang w:val="ru-RU" w:eastAsia="en-US" w:bidi="ar-SA"/>
              </w:rPr>
              <w:t xml:space="preserve">, </w:t>
            </w:r>
            <w:r>
              <w:rPr>
                <w:rFonts w:eastAsia="Calibri" w:cs="Arial"/>
                <w:sz w:val="26"/>
                <w:szCs w:val="22"/>
                <w:lang w:val="ru-RU" w:eastAsia="en-US" w:bidi="ar-SA"/>
              </w:rPr>
              <w:fldChar w:fldCharType="begin"/>
            </w:r>
            <w:r>
              <w:rPr>
                <w:rFonts w:eastAsia="Calibri" w:cs="Arial"/>
                <w:sz w:val="26"/>
                <w:szCs w:val="22"/>
                <w:lang w:val="ru-RU" w:eastAsia="en-US" w:bidi="ar-SA"/>
              </w:rPr>
              <w:instrText xml:space="preserve"> REF _Ref125362119 \r \h </w:instrText>
            </w:r>
            <w:r>
              <w:rPr>
                <w:rFonts w:eastAsia="Calibri" w:cs="Arial"/>
                <w:sz w:val="26"/>
                <w:szCs w:val="22"/>
                <w:lang w:val="ru-RU" w:eastAsia="en-US" w:bidi="ar-SA"/>
              </w:rPr>
              <w:fldChar w:fldCharType="separate"/>
            </w:r>
            <w:r>
              <w:rPr>
                <w:rFonts w:eastAsia="Calibri" w:cs="Arial"/>
                <w:sz w:val="26"/>
                <w:szCs w:val="22"/>
                <w:lang w:val="ru-RU" w:eastAsia="en-US" w:bidi="ar-SA"/>
              </w:rPr>
              <w:t xml:space="preserve">4.6</w:t>
            </w:r>
            <w:r>
              <w:rPr>
                <w:rFonts w:eastAsia="Calibri" w:cs="Arial"/>
                <w:sz w:val="26"/>
                <w:szCs w:val="22"/>
                <w:lang w:val="ru-RU" w:eastAsia="en-US" w:bidi="ar-SA"/>
              </w:rPr>
              <w:fldChar w:fldCharType="end"/>
            </w:r>
            <w:r>
              <w:rPr>
                <w:rFonts w:eastAsia="Calibri" w:cs="Arial"/>
                <w:sz w:val="26"/>
                <w:szCs w:val="22"/>
                <w:lang w:val="ru-RU" w:eastAsia="en-US" w:bidi="ar-SA"/>
              </w:rPr>
              <w:t xml:space="preserve">,</w:t>
              <w:br/>
            </w:r>
            <w:hyperlink w:tooltip="#Прил06_СоставЗаявки" w:anchor="Прил06_СоставЗаявки" w:history="1">
              <w:r>
                <w:rPr>
                  <w:rStyle w:val="1311"/>
                  <w:rFonts w:eastAsia="Calibri" w:cs="Arial"/>
                  <w:sz w:val="26"/>
                  <w:szCs w:val="22"/>
                  <w:lang w:val="ru-RU" w:eastAsia="en-US" w:bidi="ar-SA"/>
                </w:rPr>
                <w:t xml:space="preserve">Приложение № 6</w:t>
              </w:r>
            </w:hyperlink>
            <w:r>
              <w:rPr>
                <w:rStyle w:val="1311"/>
              </w:rPr>
            </w:r>
            <w:r>
              <w:rPr>
                <w:rStyle w:val="1311"/>
              </w:rPr>
            </w:r>
          </w:p>
        </w:tc>
        <w:tc>
          <w:tcPr>
            <w:tcW w:w="2090" w:type="dxa"/>
            <w:textDirection w:val="lrTb"/>
            <w:noWrap w:val="false"/>
          </w:tcPr>
          <w:p>
            <w:pPr>
              <w:pStyle w:val="1342"/>
              <w:jc w:val="center"/>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Орг, Тех,</w:t>
              <w:br/>
              <w:t xml:space="preserve">Цена, Юр</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r>
      <w:tr>
        <w:tblPrEx/>
        <w:trPr/>
        <w:tc>
          <w:tcPr>
            <w:tcW w:w="1412" w:type="dxa"/>
            <w:textDirection w:val="lrTb"/>
            <w:noWrap w:val="false"/>
          </w:tcPr>
          <w:p>
            <w:pPr>
              <w:pStyle w:val="1342"/>
              <w:numPr>
                <w:ilvl w:val="0"/>
                <w:numId w:val="7"/>
              </w:numPr>
              <w:ind w:left="170" w:firstLine="0"/>
              <w:jc w:val="center"/>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8506" w:type="dxa"/>
            <w:textDirection w:val="lrTb"/>
            <w:noWrap w:val="false"/>
          </w:tcPr>
          <w:p>
            <w:pPr>
              <w:pStyle w:val="1342"/>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Отсутствие в материалах (документах) заявки недостоверных сведений или намеренно искаженной информации и (или) документов, внутренних противоречий между различными частями и (или) документами заявки, в том числе по тексту внутри одного документа</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3117" w:type="dxa"/>
            <w:textDirection w:val="lrTb"/>
            <w:noWrap w:val="false"/>
          </w:tcPr>
          <w:p>
            <w:pPr>
              <w:pStyle w:val="1342"/>
              <w:jc w:val="center"/>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подразделы </w:t>
            </w:r>
            <w:r>
              <w:rPr>
                <w:rFonts w:eastAsia="Calibri" w:cs="Arial"/>
                <w:sz w:val="26"/>
                <w:szCs w:val="22"/>
                <w:lang w:val="ru-RU" w:eastAsia="en-US" w:bidi="ar-SA"/>
              </w:rPr>
              <w:fldChar w:fldCharType="begin"/>
            </w:r>
            <w:r>
              <w:rPr>
                <w:rFonts w:eastAsia="Calibri" w:cs="Arial"/>
                <w:sz w:val="26"/>
                <w:szCs w:val="22"/>
                <w:lang w:val="ru-RU" w:eastAsia="en-US" w:bidi="ar-SA"/>
              </w:rPr>
              <w:instrText xml:space="preserve"> REF _Ref130394681 \r \h </w:instrText>
            </w:r>
            <w:r>
              <w:rPr>
                <w:rFonts w:eastAsia="Calibri" w:cs="Arial"/>
                <w:sz w:val="26"/>
                <w:szCs w:val="22"/>
                <w:lang w:val="ru-RU" w:eastAsia="en-US" w:bidi="ar-SA"/>
              </w:rPr>
              <w:fldChar w:fldCharType="separate"/>
            </w:r>
            <w:r>
              <w:rPr>
                <w:rFonts w:eastAsia="Calibri" w:cs="Arial"/>
                <w:sz w:val="26"/>
                <w:szCs w:val="22"/>
                <w:lang w:val="ru-RU" w:eastAsia="en-US" w:bidi="ar-SA"/>
              </w:rPr>
              <w:t xml:space="preserve">4.3</w:t>
            </w:r>
            <w:r>
              <w:rPr>
                <w:rFonts w:eastAsia="Calibri" w:cs="Arial"/>
                <w:sz w:val="26"/>
                <w:szCs w:val="22"/>
                <w:lang w:val="ru-RU" w:eastAsia="en-US" w:bidi="ar-SA"/>
              </w:rPr>
              <w:fldChar w:fldCharType="end"/>
            </w:r>
            <w:r>
              <w:rPr>
                <w:rFonts w:eastAsia="Calibri" w:cs="Arial"/>
                <w:sz w:val="26"/>
                <w:szCs w:val="22"/>
                <w:lang w:val="ru-RU" w:eastAsia="en-US" w:bidi="ar-SA"/>
              </w:rPr>
              <w:t xml:space="preserve">, </w:t>
            </w:r>
            <w:r>
              <w:rPr>
                <w:rFonts w:eastAsia="Calibri" w:cs="Arial"/>
                <w:sz w:val="26"/>
                <w:szCs w:val="22"/>
                <w:lang w:val="ru-RU" w:eastAsia="en-US" w:bidi="ar-SA"/>
              </w:rPr>
              <w:fldChar w:fldCharType="begin"/>
            </w:r>
            <w:r>
              <w:rPr>
                <w:rFonts w:eastAsia="Calibri" w:cs="Arial"/>
                <w:sz w:val="26"/>
                <w:szCs w:val="22"/>
                <w:lang w:val="ru-RU" w:eastAsia="en-US" w:bidi="ar-SA"/>
              </w:rPr>
              <w:instrText xml:space="preserve"> REF _Ref135749133 \r \h </w:instrText>
            </w:r>
            <w:r>
              <w:rPr>
                <w:rFonts w:eastAsia="Calibri" w:cs="Arial"/>
                <w:sz w:val="26"/>
                <w:szCs w:val="22"/>
                <w:lang w:val="ru-RU" w:eastAsia="en-US" w:bidi="ar-SA"/>
              </w:rPr>
              <w:fldChar w:fldCharType="separate"/>
            </w:r>
            <w:r>
              <w:rPr>
                <w:rFonts w:eastAsia="Calibri" w:cs="Arial"/>
                <w:sz w:val="26"/>
                <w:szCs w:val="22"/>
                <w:lang w:val="ru-RU" w:eastAsia="en-US" w:bidi="ar-SA"/>
              </w:rPr>
              <w:t xml:space="preserve">4.9</w:t>
            </w:r>
            <w:r>
              <w:rPr>
                <w:rFonts w:eastAsia="Calibri" w:cs="Arial"/>
                <w:sz w:val="26"/>
                <w:szCs w:val="22"/>
                <w:lang w:val="ru-RU" w:eastAsia="en-US" w:bidi="ar-SA"/>
              </w:rPr>
              <w:fldChar w:fldCharType="end"/>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2090" w:type="dxa"/>
            <w:textDirection w:val="lrTb"/>
            <w:noWrap w:val="false"/>
          </w:tcPr>
          <w:p>
            <w:pPr>
              <w:pStyle w:val="1342"/>
              <w:jc w:val="center"/>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Орг, Тех,</w:t>
              <w:br/>
              <w:t xml:space="preserve">Цена, Юр</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r>
      <w:tr>
        <w:tblPrEx/>
        <w:trPr/>
        <w:tc>
          <w:tcPr>
            <w:tcW w:w="1412" w:type="dxa"/>
            <w:textDirection w:val="lrTb"/>
            <w:noWrap w:val="false"/>
          </w:tcPr>
          <w:p>
            <w:pPr>
              <w:pStyle w:val="1342"/>
              <w:numPr>
                <w:ilvl w:val="0"/>
                <w:numId w:val="7"/>
              </w:numPr>
              <w:ind w:left="170" w:firstLine="0"/>
              <w:jc w:val="center"/>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8506" w:type="dxa"/>
            <w:textDirection w:val="lrTb"/>
            <w:noWrap w:val="false"/>
          </w:tcPr>
          <w:p>
            <w:pPr>
              <w:pStyle w:val="1342"/>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Наличие обеспечения обязательств Участника, связанного с подачей заявки, в виде банковской гарантии и ее соответствие установленным требованиям Документации о закупке – если подразделом </w:t>
            </w:r>
            <w:r>
              <w:rPr>
                <w:rFonts w:eastAsia="Calibri" w:cs="Arial"/>
                <w:sz w:val="26"/>
                <w:szCs w:val="22"/>
                <w:lang w:val="ru-RU" w:eastAsia="en-US" w:bidi="ar-SA"/>
              </w:rPr>
              <w:fldChar w:fldCharType="begin"/>
            </w:r>
            <w:r>
              <w:rPr>
                <w:rFonts w:eastAsia="Calibri" w:cs="Arial"/>
                <w:sz w:val="26"/>
                <w:szCs w:val="22"/>
                <w:lang w:val="ru-RU" w:eastAsia="en-US" w:bidi="ar-SA"/>
              </w:rPr>
              <w:instrText xml:space="preserve"> REF _Ref125359973 \r \h </w:instrText>
            </w:r>
            <w:r>
              <w:rPr>
                <w:rFonts w:eastAsia="Calibri" w:cs="Arial"/>
                <w:sz w:val="26"/>
                <w:szCs w:val="22"/>
                <w:lang w:val="ru-RU" w:eastAsia="en-US" w:bidi="ar-SA"/>
              </w:rPr>
              <w:fldChar w:fldCharType="separate"/>
            </w:r>
            <w:r>
              <w:rPr>
                <w:rFonts w:eastAsia="Calibri" w:cs="Arial"/>
                <w:sz w:val="26"/>
                <w:szCs w:val="22"/>
                <w:lang w:val="ru-RU" w:eastAsia="en-US" w:bidi="ar-SA"/>
              </w:rPr>
              <w:t xml:space="preserve">1.2</w:t>
            </w:r>
            <w:r>
              <w:rPr>
                <w:rFonts w:eastAsia="Calibri" w:cs="Arial"/>
                <w:sz w:val="26"/>
                <w:szCs w:val="22"/>
                <w:lang w:val="ru-RU" w:eastAsia="en-US" w:bidi="ar-SA"/>
              </w:rPr>
              <w:fldChar w:fldCharType="end"/>
            </w:r>
            <w:r>
              <w:rPr>
                <w:rFonts w:eastAsia="Calibri" w:cs="Arial"/>
                <w:sz w:val="26"/>
                <w:szCs w:val="22"/>
                <w:lang w:val="ru-RU" w:eastAsia="en-US" w:bidi="ar-SA"/>
              </w:rPr>
              <w:t xml:space="preserve"> предусмотрена обязанность Участников предоставить обеспечение заявки на участие в закупке и в случае отсутствия внесенных Участником денежных средств на индивидуальный счет, открытый Участнику Оператором ЭП в соответствии с Регламентом ЭП</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3117" w:type="dxa"/>
            <w:textDirection w:val="lrTb"/>
            <w:noWrap w:val="false"/>
          </w:tcPr>
          <w:p>
            <w:pPr>
              <w:pStyle w:val="1342"/>
              <w:jc w:val="center"/>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подраздел </w:t>
            </w:r>
            <w:r>
              <w:rPr>
                <w:rFonts w:eastAsia="Calibri" w:cs="Arial"/>
                <w:sz w:val="26"/>
                <w:szCs w:val="22"/>
                <w:lang w:val="ru-RU" w:eastAsia="en-US" w:bidi="ar-SA"/>
              </w:rPr>
              <w:fldChar w:fldCharType="begin"/>
            </w:r>
            <w:r>
              <w:rPr>
                <w:rFonts w:eastAsia="Calibri" w:cs="Arial"/>
                <w:sz w:val="26"/>
                <w:szCs w:val="22"/>
                <w:lang w:val="ru-RU" w:eastAsia="en-US" w:bidi="ar-SA"/>
              </w:rPr>
              <w:instrText xml:space="preserve"> REF _Ref130455226 \r \h </w:instrText>
            </w:r>
            <w:r>
              <w:rPr>
                <w:rFonts w:eastAsia="Calibri" w:cs="Arial"/>
                <w:sz w:val="26"/>
                <w:szCs w:val="22"/>
                <w:lang w:val="ru-RU" w:eastAsia="en-US" w:bidi="ar-SA"/>
              </w:rPr>
              <w:fldChar w:fldCharType="separate"/>
            </w:r>
            <w:r>
              <w:rPr>
                <w:rFonts w:eastAsia="Calibri" w:cs="Arial"/>
                <w:sz w:val="26"/>
                <w:szCs w:val="22"/>
                <w:lang w:val="ru-RU" w:eastAsia="en-US" w:bidi="ar-SA"/>
              </w:rPr>
              <w:t xml:space="preserve">4.17</w:t>
            </w:r>
            <w:r>
              <w:rPr>
                <w:rFonts w:eastAsia="Calibri" w:cs="Arial"/>
                <w:sz w:val="26"/>
                <w:szCs w:val="22"/>
                <w:lang w:val="ru-RU" w:eastAsia="en-US" w:bidi="ar-SA"/>
              </w:rPr>
              <w:fldChar w:fldCharType="end"/>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2090" w:type="dxa"/>
            <w:textDirection w:val="lrTb"/>
            <w:noWrap w:val="false"/>
          </w:tcPr>
          <w:p>
            <w:pPr>
              <w:pStyle w:val="1342"/>
              <w:jc w:val="center"/>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Орг – в части наличия сведений в реестре,</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p>
            <w:pPr>
              <w:pStyle w:val="1342"/>
              <w:jc w:val="center"/>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Фин – в части соответствия</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r>
      <w:tr>
        <w:tblPrEx/>
        <w:trPr/>
        <w:tc>
          <w:tcPr>
            <w:gridSpan w:val="2"/>
            <w:tcW w:w="9918" w:type="dxa"/>
            <w:textDirection w:val="lrTb"/>
            <w:noWrap w:val="false"/>
          </w:tcPr>
          <w:p>
            <w:pPr>
              <w:pStyle w:val="1342"/>
              <w:keepNext/>
              <w:spacing w:before="60" w:after="60" w:line="240" w:lineRule="auto"/>
              <w:widowControl w:val="off"/>
              <w:rPr>
                <w:b/>
                <w:bCs/>
              </w:rPr>
            </w:pPr>
            <w:r>
              <w:rPr>
                <w:rFonts w:eastAsia="Calibri" w:cs="Arial"/>
                <w:b/>
                <w:bCs/>
                <w:sz w:val="26"/>
                <w:szCs w:val="22"/>
                <w:lang w:val="ru-RU" w:eastAsia="en-US" w:bidi="ar-SA"/>
              </w:rPr>
              <w:t xml:space="preserve">Соответствие Письма о подаче оферты:</w:t>
            </w:r>
            <w:r>
              <w:rPr>
                <w:b/>
                <w:bCs/>
              </w:rPr>
            </w:r>
            <w:r>
              <w:rPr>
                <w:b/>
                <w:bCs/>
              </w:rPr>
            </w:r>
          </w:p>
        </w:tc>
        <w:tc>
          <w:tcPr>
            <w:tcW w:w="3117" w:type="dxa"/>
            <w:textDirection w:val="lrTb"/>
            <w:noWrap w:val="false"/>
          </w:tcPr>
          <w:p>
            <w:pPr>
              <w:pStyle w:val="1342"/>
              <w:jc w:val="center"/>
              <w:keepNext/>
              <w:spacing w:before="60" w:after="60" w:line="240" w:lineRule="auto"/>
              <w:widowControl w:val="off"/>
              <w:rPr>
                <w:rFonts w:ascii="Times New Roman" w:hAnsi="Times New Roman" w:eastAsia="Calibri" w:cs="Arial"/>
                <w:sz w:val="26"/>
                <w:szCs w:val="22"/>
                <w:lang w:val="ru-RU" w:eastAsia="en-US" w:bidi="ar-SA"/>
              </w:rPr>
            </w:pPr>
            <w:r>
              <w:rPr>
                <w:rFonts w:eastAsia="Calibri" w:cs="Arial"/>
                <w:b/>
                <w:bCs/>
                <w:sz w:val="26"/>
                <w:szCs w:val="22"/>
                <w:lang w:val="ru-RU" w:eastAsia="en-US" w:bidi="ar-SA"/>
              </w:rPr>
              <w:t xml:space="preserve">–</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2090" w:type="dxa"/>
            <w:textDirection w:val="lrTb"/>
            <w:noWrap w:val="false"/>
          </w:tcPr>
          <w:p>
            <w:pPr>
              <w:pStyle w:val="1342"/>
              <w:jc w:val="center"/>
              <w:keepNext/>
              <w:spacing w:before="60" w:after="60" w:line="240" w:lineRule="auto"/>
              <w:widowControl w:val="off"/>
              <w:rPr>
                <w:rFonts w:ascii="Times New Roman" w:hAnsi="Times New Roman" w:eastAsia="Calibri" w:cs="Arial"/>
                <w:sz w:val="26"/>
                <w:szCs w:val="22"/>
                <w:lang w:val="ru-RU" w:eastAsia="en-US" w:bidi="ar-SA"/>
              </w:rPr>
            </w:pPr>
            <w:r>
              <w:rPr>
                <w:rFonts w:eastAsia="Calibri" w:cs="Arial"/>
                <w:b/>
                <w:bCs/>
                <w:sz w:val="26"/>
                <w:szCs w:val="22"/>
                <w:lang w:val="ru-RU" w:eastAsia="en-US" w:bidi="ar-SA"/>
              </w:rPr>
              <w:t xml:space="preserve">–</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r>
      <w:tr>
        <w:tblPrEx/>
        <w:trPr/>
        <w:tc>
          <w:tcPr>
            <w:tcW w:w="1412" w:type="dxa"/>
            <w:textDirection w:val="lrTb"/>
            <w:noWrap w:val="false"/>
          </w:tcPr>
          <w:p>
            <w:pPr>
              <w:pStyle w:val="1342"/>
              <w:numPr>
                <w:ilvl w:val="0"/>
                <w:numId w:val="7"/>
              </w:numPr>
              <w:ind w:left="170" w:firstLine="0"/>
              <w:jc w:val="center"/>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8506" w:type="dxa"/>
            <w:textDirection w:val="lrTb"/>
            <w:noWrap w:val="false"/>
          </w:tcPr>
          <w:p>
            <w:pPr>
              <w:pStyle w:val="1342"/>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Соответствие (в том числе содержание) Письма о подаче оферты установленной форме и иным требованиям Документации о закупке, в т.ч. в части наличия должных печатей (при наличии), подписей, формы заверения, языка, валюты и срока действия заявки</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3117" w:type="dxa"/>
            <w:textDirection w:val="lrTb"/>
            <w:noWrap w:val="false"/>
          </w:tcPr>
          <w:p>
            <w:pPr>
              <w:pStyle w:val="1342"/>
              <w:jc w:val="center"/>
              <w:spacing w:before="60" w:after="60" w:line="240" w:lineRule="auto"/>
              <w:widowControl w:val="off"/>
            </w:pPr>
            <w:r>
              <w:rPr>
                <w:rFonts w:eastAsia="Calibri" w:cs="Arial"/>
                <w:sz w:val="26"/>
                <w:szCs w:val="22"/>
                <w:lang w:val="ru-RU" w:eastAsia="en-US" w:bidi="ar-SA"/>
              </w:rPr>
              <w:t xml:space="preserve">подразделы </w:t>
            </w:r>
            <w:r>
              <w:rPr>
                <w:rFonts w:eastAsia="Calibri" w:cs="Arial"/>
                <w:sz w:val="26"/>
                <w:szCs w:val="22"/>
                <w:lang w:val="ru-RU" w:eastAsia="en-US" w:bidi="ar-SA"/>
              </w:rPr>
              <w:fldChar w:fldCharType="begin"/>
            </w:r>
            <w:r>
              <w:rPr>
                <w:rFonts w:eastAsia="Calibri" w:cs="Arial"/>
                <w:sz w:val="26"/>
                <w:szCs w:val="22"/>
                <w:lang w:val="ru-RU" w:eastAsia="en-US" w:bidi="ar-SA"/>
              </w:rPr>
              <w:instrText xml:space="preserve"> REF _Ref130394681 \r \h </w:instrText>
            </w:r>
            <w:r>
              <w:rPr>
                <w:rFonts w:eastAsia="Calibri" w:cs="Arial"/>
                <w:sz w:val="26"/>
                <w:szCs w:val="22"/>
                <w:lang w:val="ru-RU" w:eastAsia="en-US" w:bidi="ar-SA"/>
              </w:rPr>
              <w:fldChar w:fldCharType="separate"/>
            </w:r>
            <w:r>
              <w:rPr>
                <w:rFonts w:eastAsia="Calibri" w:cs="Arial"/>
                <w:sz w:val="26"/>
                <w:szCs w:val="22"/>
                <w:lang w:val="ru-RU" w:eastAsia="en-US" w:bidi="ar-SA"/>
              </w:rPr>
              <w:t xml:space="preserve">4.3</w:t>
            </w:r>
            <w:r>
              <w:rPr>
                <w:rFonts w:eastAsia="Calibri" w:cs="Arial"/>
                <w:sz w:val="26"/>
                <w:szCs w:val="22"/>
                <w:lang w:val="ru-RU" w:eastAsia="en-US" w:bidi="ar-SA"/>
              </w:rPr>
              <w:fldChar w:fldCharType="end"/>
            </w:r>
            <w:r>
              <w:rPr>
                <w:rFonts w:eastAsia="Calibri" w:cs="Arial"/>
                <w:sz w:val="26"/>
                <w:szCs w:val="22"/>
                <w:lang w:val="ru-RU" w:eastAsia="en-US" w:bidi="ar-SA"/>
              </w:rPr>
              <w:t xml:space="preserve">, </w:t>
            </w:r>
            <w:r>
              <w:rPr>
                <w:rFonts w:eastAsia="Calibri" w:cs="Arial"/>
                <w:sz w:val="26"/>
                <w:szCs w:val="22"/>
                <w:lang w:val="ru-RU" w:eastAsia="en-US" w:bidi="ar-SA"/>
              </w:rPr>
              <w:fldChar w:fldCharType="begin"/>
            </w:r>
            <w:r>
              <w:rPr>
                <w:rFonts w:eastAsia="Calibri" w:cs="Arial"/>
                <w:sz w:val="26"/>
                <w:szCs w:val="22"/>
                <w:lang w:val="ru-RU" w:eastAsia="en-US" w:bidi="ar-SA"/>
              </w:rPr>
              <w:instrText xml:space="preserve"> REF _Ref125362119 \r \h </w:instrText>
            </w:r>
            <w:r>
              <w:rPr>
                <w:rFonts w:eastAsia="Calibri" w:cs="Arial"/>
                <w:sz w:val="26"/>
                <w:szCs w:val="22"/>
                <w:lang w:val="ru-RU" w:eastAsia="en-US" w:bidi="ar-SA"/>
              </w:rPr>
              <w:fldChar w:fldCharType="separate"/>
            </w:r>
            <w:r>
              <w:rPr>
                <w:rFonts w:eastAsia="Calibri" w:cs="Arial"/>
                <w:sz w:val="26"/>
                <w:szCs w:val="22"/>
                <w:lang w:val="ru-RU" w:eastAsia="en-US" w:bidi="ar-SA"/>
              </w:rPr>
              <w:t xml:space="preserve">4.6</w:t>
            </w:r>
            <w:r>
              <w:rPr>
                <w:rFonts w:eastAsia="Calibri" w:cs="Arial"/>
                <w:sz w:val="26"/>
                <w:szCs w:val="22"/>
                <w:lang w:val="ru-RU" w:eastAsia="en-US" w:bidi="ar-SA"/>
              </w:rPr>
              <w:fldChar w:fldCharType="end"/>
            </w:r>
            <w:r>
              <w:rPr>
                <w:rFonts w:eastAsia="Calibri" w:cs="Arial"/>
                <w:sz w:val="26"/>
                <w:szCs w:val="22"/>
                <w:lang w:val="ru-RU" w:eastAsia="en-US" w:bidi="ar-SA"/>
              </w:rPr>
              <w:br/>
            </w:r>
            <w:hyperlink w:tooltip="#Прил04_ФормыЗаявки" w:anchor="Прил04_ФормыЗаявки" w:history="1">
              <w:r>
                <w:rPr>
                  <w:rStyle w:val="1311"/>
                  <w:rFonts w:eastAsia="Calibri" w:cs="Arial"/>
                  <w:sz w:val="26"/>
                  <w:szCs w:val="22"/>
                  <w:lang w:val="ru-RU" w:eastAsia="en-US" w:bidi="ar-SA"/>
                </w:rPr>
                <w:t xml:space="preserve">Приложение № 4</w:t>
              </w:r>
            </w:hyperlink>
            <w:r/>
            <w:r/>
          </w:p>
        </w:tc>
        <w:tc>
          <w:tcPr>
            <w:tcW w:w="2090" w:type="dxa"/>
            <w:textDirection w:val="lrTb"/>
            <w:noWrap w:val="false"/>
          </w:tcPr>
          <w:p>
            <w:pPr>
              <w:pStyle w:val="1342"/>
              <w:jc w:val="center"/>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Орг</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r>
      <w:tr>
        <w:tblPrEx/>
        <w:trPr/>
        <w:tc>
          <w:tcPr>
            <w:gridSpan w:val="2"/>
            <w:tcW w:w="9918" w:type="dxa"/>
            <w:textDirection w:val="lrTb"/>
            <w:noWrap w:val="false"/>
          </w:tcPr>
          <w:p>
            <w:pPr>
              <w:pStyle w:val="1342"/>
              <w:keepNext/>
              <w:spacing w:before="60" w:after="60" w:line="240" w:lineRule="auto"/>
              <w:widowControl w:val="off"/>
              <w:rPr>
                <w:b/>
                <w:bCs/>
              </w:rPr>
            </w:pPr>
            <w:r>
              <w:rPr>
                <w:rFonts w:eastAsia="Calibri" w:cs="Arial"/>
                <w:b/>
                <w:bCs/>
                <w:sz w:val="26"/>
                <w:szCs w:val="22"/>
                <w:lang w:val="ru-RU" w:eastAsia="en-US" w:bidi="ar-SA"/>
              </w:rPr>
              <w:t xml:space="preserve">Соответствие Участника установленным требованиям Документации о закупке, в том числе:</w:t>
            </w:r>
            <w:r>
              <w:rPr>
                <w:b/>
                <w:bCs/>
              </w:rPr>
            </w:r>
            <w:r>
              <w:rPr>
                <w:b/>
                <w:bCs/>
              </w:rPr>
            </w:r>
          </w:p>
        </w:tc>
        <w:tc>
          <w:tcPr>
            <w:tcW w:w="3117" w:type="dxa"/>
            <w:textDirection w:val="lrTb"/>
            <w:noWrap w:val="false"/>
          </w:tcPr>
          <w:p>
            <w:pPr>
              <w:pStyle w:val="1342"/>
              <w:jc w:val="center"/>
              <w:spacing w:before="60" w:after="60" w:line="240" w:lineRule="auto"/>
              <w:widowControl w:val="off"/>
              <w:rPr>
                <w:b/>
                <w:bCs/>
              </w:rPr>
            </w:pPr>
            <w:r>
              <w:rPr>
                <w:rFonts w:eastAsia="Calibri" w:cs="Arial"/>
                <w:b/>
                <w:bCs/>
                <w:sz w:val="26"/>
                <w:szCs w:val="22"/>
                <w:lang w:val="ru-RU" w:eastAsia="en-US" w:bidi="ar-SA"/>
              </w:rPr>
              <w:t xml:space="preserve">–</w:t>
            </w:r>
            <w:r>
              <w:rPr>
                <w:b/>
                <w:bCs/>
              </w:rPr>
            </w:r>
            <w:r>
              <w:rPr>
                <w:b/>
                <w:bCs/>
              </w:rPr>
            </w:r>
          </w:p>
        </w:tc>
        <w:tc>
          <w:tcPr>
            <w:tcW w:w="2090" w:type="dxa"/>
            <w:textDirection w:val="lrTb"/>
            <w:noWrap w:val="false"/>
          </w:tcPr>
          <w:p>
            <w:pPr>
              <w:pStyle w:val="1342"/>
              <w:jc w:val="center"/>
              <w:spacing w:before="60" w:after="60" w:line="240" w:lineRule="auto"/>
              <w:widowControl w:val="off"/>
              <w:rPr>
                <w:b/>
                <w:bCs/>
              </w:rPr>
            </w:pPr>
            <w:r>
              <w:rPr>
                <w:rFonts w:eastAsia="Calibri" w:cs="Arial"/>
                <w:b/>
                <w:bCs/>
                <w:sz w:val="26"/>
                <w:szCs w:val="22"/>
                <w:lang w:val="ru-RU" w:eastAsia="en-US" w:bidi="ar-SA"/>
              </w:rPr>
              <w:t xml:space="preserve">–</w:t>
            </w:r>
            <w:r>
              <w:rPr>
                <w:b/>
                <w:bCs/>
              </w:rPr>
            </w:r>
            <w:r>
              <w:rPr>
                <w:b/>
                <w:bCs/>
              </w:rPr>
            </w:r>
          </w:p>
        </w:tc>
      </w:tr>
      <w:tr>
        <w:tblPrEx/>
        <w:trPr/>
        <w:tc>
          <w:tcPr>
            <w:tcW w:w="1412" w:type="dxa"/>
            <w:textDirection w:val="lrTb"/>
            <w:noWrap w:val="false"/>
          </w:tcPr>
          <w:p>
            <w:pPr>
              <w:pStyle w:val="1342"/>
              <w:numPr>
                <w:ilvl w:val="0"/>
                <w:numId w:val="7"/>
              </w:numPr>
              <w:ind w:left="170" w:firstLine="0"/>
              <w:jc w:val="center"/>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8506" w:type="dxa"/>
            <w:textDirection w:val="lrTb"/>
            <w:noWrap w:val="false"/>
          </w:tcPr>
          <w:p>
            <w:pPr>
              <w:pStyle w:val="1342"/>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Соответствие Участника пункту </w:t>
            </w:r>
            <w:r>
              <w:rPr>
                <w:rFonts w:eastAsia="Calibri" w:cs="Arial"/>
                <w:sz w:val="26"/>
                <w:szCs w:val="22"/>
                <w:lang w:val="ru-RU" w:eastAsia="en-US" w:bidi="ar-SA"/>
              </w:rPr>
              <w:fldChar w:fldCharType="begin"/>
            </w:r>
            <w:r>
              <w:rPr>
                <w:rFonts w:eastAsia="Calibri" w:cs="Arial"/>
                <w:sz w:val="26"/>
                <w:szCs w:val="22"/>
                <w:lang w:val="ru-RU" w:eastAsia="en-US" w:bidi="ar-SA"/>
              </w:rPr>
              <w:instrText xml:space="preserve"> REF _Ref125552433 \w \h </w:instrText>
            </w:r>
            <w:r>
              <w:rPr>
                <w:rFonts w:eastAsia="Calibri" w:cs="Arial"/>
                <w:sz w:val="26"/>
                <w:szCs w:val="22"/>
                <w:lang w:val="ru-RU" w:eastAsia="en-US" w:bidi="ar-SA"/>
              </w:rPr>
              <w:fldChar w:fldCharType="separate"/>
            </w:r>
            <w:r>
              <w:rPr>
                <w:rFonts w:eastAsia="Calibri" w:cs="Arial"/>
                <w:sz w:val="26"/>
                <w:szCs w:val="22"/>
                <w:lang w:val="ru-RU" w:eastAsia="en-US" w:bidi="ar-SA"/>
              </w:rPr>
              <w:t xml:space="preserve">1</w:t>
            </w:r>
            <w:r>
              <w:rPr>
                <w:rFonts w:eastAsia="Calibri" w:cs="Arial"/>
                <w:sz w:val="26"/>
                <w:szCs w:val="22"/>
                <w:lang w:val="ru-RU" w:eastAsia="en-US" w:bidi="ar-SA"/>
              </w:rPr>
              <w:fldChar w:fldCharType="end"/>
            </w:r>
            <w:r>
              <w:rPr>
                <w:rFonts w:eastAsia="Calibri" w:cs="Arial"/>
                <w:sz w:val="26"/>
                <w:szCs w:val="22"/>
                <w:lang w:val="ru-RU" w:eastAsia="en-US" w:bidi="ar-SA"/>
              </w:rPr>
              <w:t xml:space="preserve"> обязательных требований к Участникам</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p>
            <w:pPr>
              <w:pStyle w:val="1342"/>
              <w:spacing w:before="60" w:after="60" w:line="240" w:lineRule="auto"/>
              <w:widowControl w:val="off"/>
              <w:rPr>
                <w:i/>
                <w:iCs/>
              </w:rPr>
            </w:pPr>
            <w:r>
              <w:rPr>
                <w:rFonts w:eastAsia="Calibri" w:cs="Arial"/>
                <w:i/>
                <w:iCs/>
                <w:sz w:val="26"/>
                <w:szCs w:val="22"/>
                <w:lang w:val="ru-RU" w:eastAsia="en-US" w:bidi="ar-SA"/>
              </w:rPr>
              <w:t xml:space="preserve">(в рамках осуществления экспертизы заявки Участника в том числе проверяется наличие у него статуса «аккредитован» / «аккредитация не требуется», или проводится процедура его аккредитации (при</w:t>
            </w:r>
            <w:r>
              <w:rPr>
                <w:rFonts w:eastAsia="Calibri" w:cs="Arial"/>
                <w:i/>
                <w:iCs/>
                <w:sz w:val="26"/>
                <w:szCs w:val="22"/>
                <w:lang w:val="en-US" w:eastAsia="en-US" w:bidi="ar-SA"/>
              </w:rPr>
              <w:t xml:space="preserve"> </w:t>
            </w:r>
            <w:r>
              <w:rPr>
                <w:rFonts w:eastAsia="Calibri" w:cs="Arial"/>
                <w:i/>
                <w:iCs/>
                <w:sz w:val="26"/>
                <w:szCs w:val="22"/>
                <w:lang w:val="ru-RU" w:eastAsia="en-US" w:bidi="ar-SA"/>
              </w:rPr>
              <w:t xml:space="preserve">необходимости). В рамках заключения Договора Победитель в целях подтверждения своего соответствия предоставляет документы в порядке, предусмотренном подразделом </w:t>
            </w:r>
            <w:r>
              <w:rPr>
                <w:rFonts w:eastAsia="Calibri" w:cs="Arial"/>
                <w:i/>
                <w:iCs/>
                <w:sz w:val="26"/>
                <w:szCs w:val="22"/>
                <w:lang w:val="ru-RU" w:eastAsia="en-US" w:bidi="ar-SA"/>
              </w:rPr>
              <w:fldChar w:fldCharType="begin"/>
            </w:r>
            <w:r>
              <w:rPr>
                <w:rFonts w:eastAsia="Calibri" w:cs="Arial"/>
                <w:i/>
                <w:iCs/>
                <w:sz w:val="26"/>
                <w:szCs w:val="22"/>
                <w:lang w:val="ru-RU" w:eastAsia="en-US" w:bidi="ar-SA"/>
              </w:rPr>
              <w:instrText xml:space="preserve"> REF _Ref138232981 \r \h </w:instrText>
            </w:r>
            <w:r>
              <w:rPr>
                <w:rFonts w:eastAsia="Calibri" w:cs="Arial"/>
                <w:i/>
                <w:iCs/>
                <w:sz w:val="26"/>
                <w:szCs w:val="22"/>
                <w:lang w:val="ru-RU" w:eastAsia="en-US" w:bidi="ar-SA"/>
              </w:rPr>
              <w:fldChar w:fldCharType="separate"/>
            </w:r>
            <w:r>
              <w:rPr>
                <w:rFonts w:eastAsia="Calibri" w:cs="Arial"/>
                <w:i/>
                <w:iCs/>
                <w:sz w:val="26"/>
                <w:szCs w:val="22"/>
                <w:lang w:val="ru-RU" w:eastAsia="en-US" w:bidi="ar-SA"/>
              </w:rPr>
              <w:t xml:space="preserve">5.2</w:t>
            </w:r>
            <w:r>
              <w:rPr>
                <w:rFonts w:eastAsia="Calibri" w:cs="Arial"/>
                <w:i/>
                <w:iCs/>
                <w:sz w:val="26"/>
                <w:szCs w:val="22"/>
                <w:lang w:val="ru-RU" w:eastAsia="en-US" w:bidi="ar-SA"/>
              </w:rPr>
              <w:fldChar w:fldCharType="end"/>
            </w:r>
            <w:r>
              <w:rPr>
                <w:rFonts w:eastAsia="Calibri" w:cs="Arial"/>
                <w:i/>
                <w:iCs/>
                <w:sz w:val="26"/>
                <w:szCs w:val="22"/>
                <w:lang w:val="ru-RU" w:eastAsia="en-US" w:bidi="ar-SA"/>
              </w:rPr>
              <w:t xml:space="preserve">)</w:t>
            </w:r>
            <w:r>
              <w:rPr>
                <w:i/>
                <w:iCs/>
              </w:rPr>
            </w:r>
            <w:r>
              <w:rPr>
                <w:i/>
                <w:iCs/>
              </w:rPr>
            </w:r>
          </w:p>
        </w:tc>
        <w:tc>
          <w:tcPr>
            <w:tcW w:w="3117" w:type="dxa"/>
            <w:textDirection w:val="lrTb"/>
            <w:noWrap w:val="false"/>
          </w:tcPr>
          <w:p>
            <w:pPr>
              <w:pStyle w:val="1342"/>
              <w:jc w:val="center"/>
              <w:spacing w:before="60" w:after="60" w:line="240" w:lineRule="auto"/>
              <w:widowControl w:val="off"/>
            </w:pPr>
            <w:r>
              <w:rPr>
                <w:rFonts w:eastAsia="Calibri" w:cs="Arial"/>
                <w:sz w:val="26"/>
                <w:szCs w:val="22"/>
                <w:lang w:val="ru-RU" w:eastAsia="en-US" w:bidi="ar-SA"/>
              </w:rPr>
              <w:t xml:space="preserve">подраздел </w:t>
            </w:r>
            <w:r>
              <w:rPr>
                <w:rFonts w:eastAsia="Calibri" w:cs="Arial"/>
                <w:sz w:val="26"/>
                <w:szCs w:val="22"/>
                <w:lang w:val="ru-RU" w:eastAsia="en-US" w:bidi="ar-SA"/>
              </w:rPr>
              <w:fldChar w:fldCharType="begin"/>
            </w:r>
            <w:r>
              <w:rPr>
                <w:rFonts w:eastAsia="Calibri" w:cs="Arial"/>
                <w:sz w:val="26"/>
                <w:szCs w:val="22"/>
                <w:lang w:val="ru-RU" w:eastAsia="en-US" w:bidi="ar-SA"/>
              </w:rPr>
              <w:instrText xml:space="preserve"> REF _Ref125361435 \w \h </w:instrText>
            </w:r>
            <w:r>
              <w:rPr>
                <w:rFonts w:eastAsia="Calibri" w:cs="Arial"/>
                <w:sz w:val="26"/>
                <w:szCs w:val="22"/>
                <w:lang w:val="ru-RU" w:eastAsia="en-US" w:bidi="ar-SA"/>
              </w:rPr>
              <w:fldChar w:fldCharType="separate"/>
            </w:r>
            <w:r>
              <w:rPr>
                <w:rFonts w:eastAsia="Calibri" w:cs="Arial"/>
                <w:sz w:val="26"/>
                <w:szCs w:val="22"/>
                <w:lang w:val="ru-RU" w:eastAsia="en-US" w:bidi="ar-SA"/>
              </w:rPr>
              <w:t xml:space="preserve">8.2</w:t>
            </w:r>
            <w:r>
              <w:rPr>
                <w:rFonts w:eastAsia="Calibri" w:cs="Arial"/>
                <w:sz w:val="26"/>
                <w:szCs w:val="22"/>
                <w:lang w:val="ru-RU" w:eastAsia="en-US" w:bidi="ar-SA"/>
              </w:rPr>
              <w:fldChar w:fldCharType="end"/>
            </w:r>
            <w:r>
              <w:rPr>
                <w:rFonts w:eastAsia="Calibri" w:cs="Arial"/>
                <w:sz w:val="26"/>
                <w:szCs w:val="22"/>
                <w:lang w:val="ru-RU" w:eastAsia="en-US" w:bidi="ar-SA"/>
              </w:rPr>
              <w:br/>
              <w:t xml:space="preserve">(</w:t>
            </w:r>
            <w:hyperlink w:tooltip="#Прил03_ТребованияУчастникам" w:anchor="Прил03_ТребованияУчастникам" w:history="1">
              <w:r>
                <w:rPr>
                  <w:rStyle w:val="1311"/>
                  <w:rFonts w:eastAsia="Calibri" w:cs="Arial"/>
                  <w:sz w:val="26"/>
                  <w:szCs w:val="22"/>
                  <w:lang w:val="ru-RU" w:eastAsia="en-US" w:bidi="ar-SA"/>
                </w:rPr>
                <w:t xml:space="preserve">Приложение № 3</w:t>
              </w:r>
            </w:hyperlink>
            <w:r>
              <w:rPr>
                <w:rFonts w:eastAsia="Calibri" w:cs="Arial"/>
                <w:sz w:val="26"/>
                <w:szCs w:val="22"/>
                <w:lang w:val="ru-RU" w:eastAsia="en-US" w:bidi="ar-SA"/>
              </w:rPr>
              <w:t xml:space="preserve">)</w:t>
            </w:r>
            <w:r/>
          </w:p>
        </w:tc>
        <w:tc>
          <w:tcPr>
            <w:tcW w:w="2090" w:type="dxa"/>
            <w:textDirection w:val="lrTb"/>
            <w:noWrap w:val="false"/>
          </w:tcPr>
          <w:p>
            <w:pPr>
              <w:pStyle w:val="1342"/>
              <w:jc w:val="center"/>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Орг, Юр</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r>
      <w:tr>
        <w:tblPrEx/>
        <w:trPr/>
        <w:tc>
          <w:tcPr>
            <w:tcW w:w="1412" w:type="dxa"/>
            <w:textDirection w:val="lrTb"/>
            <w:noWrap w:val="false"/>
          </w:tcPr>
          <w:p>
            <w:pPr>
              <w:pStyle w:val="1342"/>
              <w:numPr>
                <w:ilvl w:val="0"/>
                <w:numId w:val="7"/>
              </w:numPr>
              <w:ind w:left="170" w:firstLine="0"/>
              <w:jc w:val="center"/>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8506" w:type="dxa"/>
            <w:textDirection w:val="lrTb"/>
            <w:noWrap w:val="false"/>
          </w:tcPr>
          <w:p>
            <w:pPr>
              <w:pStyle w:val="1342"/>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Соответствие Участника пункту </w:t>
            </w:r>
            <w:r>
              <w:rPr>
                <w:rFonts w:eastAsia="Calibri" w:cs="Arial"/>
                <w:sz w:val="26"/>
                <w:szCs w:val="22"/>
                <w:lang w:val="ru-RU" w:eastAsia="en-US" w:bidi="ar-SA"/>
              </w:rPr>
              <w:fldChar w:fldCharType="begin"/>
            </w:r>
            <w:r>
              <w:rPr>
                <w:rFonts w:eastAsia="Calibri" w:cs="Arial"/>
                <w:sz w:val="26"/>
                <w:szCs w:val="22"/>
                <w:lang w:val="ru-RU" w:eastAsia="en-US" w:bidi="ar-SA"/>
              </w:rPr>
              <w:instrText xml:space="preserve"> REF _Ref139028406 \r \h </w:instrText>
            </w:r>
            <w:r>
              <w:rPr>
                <w:rFonts w:eastAsia="Calibri" w:cs="Arial"/>
                <w:sz w:val="26"/>
                <w:szCs w:val="22"/>
                <w:lang w:val="ru-RU" w:eastAsia="en-US" w:bidi="ar-SA"/>
              </w:rPr>
              <w:fldChar w:fldCharType="separate"/>
            </w:r>
            <w:r>
              <w:rPr>
                <w:rFonts w:eastAsia="Calibri" w:cs="Arial"/>
                <w:sz w:val="26"/>
                <w:szCs w:val="22"/>
                <w:lang w:val="ru-RU" w:eastAsia="en-US" w:bidi="ar-SA"/>
              </w:rPr>
              <w:t xml:space="preserve">2</w:t>
            </w:r>
            <w:r>
              <w:rPr>
                <w:rFonts w:eastAsia="Calibri" w:cs="Arial"/>
                <w:sz w:val="26"/>
                <w:szCs w:val="22"/>
                <w:lang w:val="ru-RU" w:eastAsia="en-US" w:bidi="ar-SA"/>
              </w:rPr>
              <w:fldChar w:fldCharType="end"/>
            </w:r>
            <w:r>
              <w:rPr>
                <w:rFonts w:eastAsia="Calibri" w:cs="Arial"/>
                <w:sz w:val="26"/>
                <w:szCs w:val="22"/>
                <w:lang w:val="ru-RU" w:eastAsia="en-US" w:bidi="ar-SA"/>
              </w:rPr>
              <w:t xml:space="preserve"> обязательных требований к Участникам</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3117" w:type="dxa"/>
            <w:textDirection w:val="lrTb"/>
            <w:noWrap w:val="false"/>
          </w:tcPr>
          <w:p>
            <w:pPr>
              <w:pStyle w:val="1342"/>
              <w:jc w:val="center"/>
              <w:spacing w:before="60" w:after="60" w:line="240" w:lineRule="auto"/>
              <w:widowControl w:val="off"/>
            </w:pPr>
            <w:r>
              <w:rPr>
                <w:rFonts w:eastAsia="Calibri" w:cs="Arial"/>
                <w:sz w:val="26"/>
                <w:szCs w:val="22"/>
                <w:lang w:val="ru-RU" w:eastAsia="en-US" w:bidi="ar-SA"/>
              </w:rPr>
              <w:t xml:space="preserve">подраздел </w:t>
            </w:r>
            <w:r>
              <w:rPr>
                <w:rFonts w:eastAsia="Calibri" w:cs="Arial"/>
                <w:sz w:val="26"/>
                <w:szCs w:val="22"/>
                <w:lang w:val="ru-RU" w:eastAsia="en-US" w:bidi="ar-SA"/>
              </w:rPr>
              <w:fldChar w:fldCharType="begin"/>
            </w:r>
            <w:r>
              <w:rPr>
                <w:rFonts w:eastAsia="Calibri" w:cs="Arial"/>
                <w:sz w:val="26"/>
                <w:szCs w:val="22"/>
                <w:lang w:val="ru-RU" w:eastAsia="en-US" w:bidi="ar-SA"/>
              </w:rPr>
              <w:instrText xml:space="preserve"> REF _Ref125361435 \w \h </w:instrText>
            </w:r>
            <w:r>
              <w:rPr>
                <w:rFonts w:eastAsia="Calibri" w:cs="Arial"/>
                <w:sz w:val="26"/>
                <w:szCs w:val="22"/>
                <w:lang w:val="ru-RU" w:eastAsia="en-US" w:bidi="ar-SA"/>
              </w:rPr>
              <w:fldChar w:fldCharType="separate"/>
            </w:r>
            <w:r>
              <w:rPr>
                <w:rFonts w:eastAsia="Calibri" w:cs="Arial"/>
                <w:sz w:val="26"/>
                <w:szCs w:val="22"/>
                <w:lang w:val="ru-RU" w:eastAsia="en-US" w:bidi="ar-SA"/>
              </w:rPr>
              <w:t xml:space="preserve">8.2</w:t>
            </w:r>
            <w:r>
              <w:rPr>
                <w:rFonts w:eastAsia="Calibri" w:cs="Arial"/>
                <w:sz w:val="26"/>
                <w:szCs w:val="22"/>
                <w:lang w:val="ru-RU" w:eastAsia="en-US" w:bidi="ar-SA"/>
              </w:rPr>
              <w:fldChar w:fldCharType="end"/>
            </w:r>
            <w:r>
              <w:rPr>
                <w:rFonts w:eastAsia="Calibri" w:cs="Arial"/>
                <w:sz w:val="26"/>
                <w:szCs w:val="22"/>
                <w:lang w:val="ru-RU" w:eastAsia="en-US" w:bidi="ar-SA"/>
              </w:rPr>
              <w:br/>
              <w:t xml:space="preserve">(</w:t>
            </w:r>
            <w:hyperlink w:tooltip="#Прил03_ТребованияУчастникам" w:anchor="Прил03_ТребованияУчастникам" w:history="1">
              <w:r>
                <w:rPr>
                  <w:rStyle w:val="1311"/>
                  <w:rFonts w:eastAsia="Calibri" w:cs="Arial"/>
                  <w:sz w:val="26"/>
                  <w:szCs w:val="22"/>
                  <w:lang w:val="ru-RU" w:eastAsia="en-US" w:bidi="ar-SA"/>
                </w:rPr>
                <w:t xml:space="preserve">Приложение № 3</w:t>
              </w:r>
            </w:hyperlink>
            <w:r>
              <w:rPr>
                <w:rFonts w:eastAsia="Calibri" w:cs="Arial"/>
                <w:sz w:val="26"/>
                <w:szCs w:val="22"/>
                <w:lang w:val="ru-RU" w:eastAsia="en-US" w:bidi="ar-SA"/>
              </w:rPr>
              <w:t xml:space="preserve">)</w:t>
            </w:r>
            <w:r/>
          </w:p>
        </w:tc>
        <w:tc>
          <w:tcPr>
            <w:tcW w:w="2090" w:type="dxa"/>
            <w:textDirection w:val="lrTb"/>
            <w:noWrap w:val="false"/>
          </w:tcPr>
          <w:p>
            <w:pPr>
              <w:pStyle w:val="1342"/>
              <w:jc w:val="center"/>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Орг</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r>
      <w:tr>
        <w:tblPrEx/>
        <w:trPr/>
        <w:tc>
          <w:tcPr>
            <w:tcW w:w="1412" w:type="dxa"/>
            <w:textDirection w:val="lrTb"/>
            <w:noWrap w:val="false"/>
          </w:tcPr>
          <w:p>
            <w:pPr>
              <w:pStyle w:val="1342"/>
              <w:numPr>
                <w:ilvl w:val="0"/>
                <w:numId w:val="7"/>
              </w:numPr>
              <w:ind w:left="170" w:firstLine="0"/>
              <w:jc w:val="center"/>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8506" w:type="dxa"/>
            <w:textDirection w:val="lrTb"/>
            <w:noWrap w:val="false"/>
          </w:tcPr>
          <w:p>
            <w:pPr>
              <w:pStyle w:val="1342"/>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Соответствие Участника пункту </w:t>
            </w:r>
            <w:r>
              <w:rPr>
                <w:rFonts w:eastAsia="Calibri" w:cs="Arial"/>
                <w:sz w:val="26"/>
                <w:szCs w:val="22"/>
                <w:lang w:val="ru-RU" w:eastAsia="en-US" w:bidi="ar-SA"/>
              </w:rPr>
              <w:fldChar w:fldCharType="begin"/>
            </w:r>
            <w:r>
              <w:rPr>
                <w:rFonts w:eastAsia="Calibri" w:cs="Arial"/>
                <w:sz w:val="26"/>
                <w:szCs w:val="22"/>
                <w:lang w:val="ru-RU" w:eastAsia="en-US" w:bidi="ar-SA"/>
              </w:rPr>
              <w:instrText xml:space="preserve"> REF _Ref186213321 \r \h </w:instrText>
            </w:r>
            <w:r>
              <w:rPr>
                <w:rFonts w:eastAsia="Calibri" w:cs="Arial"/>
                <w:sz w:val="26"/>
                <w:szCs w:val="22"/>
                <w:lang w:val="ru-RU" w:eastAsia="en-US" w:bidi="ar-SA"/>
              </w:rPr>
              <w:fldChar w:fldCharType="separate"/>
            </w:r>
            <w:r>
              <w:rPr>
                <w:rFonts w:eastAsia="Calibri" w:cs="Arial"/>
                <w:sz w:val="26"/>
                <w:szCs w:val="22"/>
                <w:lang w:val="ru-RU" w:eastAsia="en-US" w:bidi="ar-SA"/>
              </w:rPr>
              <w:t xml:space="preserve">3</w:t>
            </w:r>
            <w:r>
              <w:rPr>
                <w:rFonts w:eastAsia="Calibri" w:cs="Arial"/>
                <w:sz w:val="26"/>
                <w:szCs w:val="22"/>
                <w:lang w:val="ru-RU" w:eastAsia="en-US" w:bidi="ar-SA"/>
              </w:rPr>
              <w:fldChar w:fldCharType="end"/>
            </w:r>
            <w:r>
              <w:rPr>
                <w:rFonts w:eastAsia="Calibri" w:cs="Arial"/>
                <w:sz w:val="26"/>
                <w:szCs w:val="22"/>
                <w:lang w:val="ru-RU" w:eastAsia="en-US" w:bidi="ar-SA"/>
              </w:rPr>
              <w:t xml:space="preserve"> обязательных требований к Участникам</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p>
            <w:pPr>
              <w:pStyle w:val="1342"/>
              <w:spacing w:before="60" w:after="60" w:line="240" w:lineRule="auto"/>
              <w:widowControl w:val="off"/>
              <w:rPr>
                <w:i/>
                <w:iCs/>
              </w:rPr>
            </w:pPr>
            <w:r>
              <w:rPr>
                <w:rFonts w:eastAsia="Calibri" w:cs="Arial"/>
                <w:i/>
                <w:iCs/>
                <w:sz w:val="26"/>
                <w:szCs w:val="22"/>
                <w:lang w:val="ru-RU" w:eastAsia="en-US" w:bidi="ar-SA"/>
              </w:rPr>
              <w:t xml:space="preserve">(пункт применяется только в случае установления режима запрета закупки иностранной продукции (подраздел </w:t>
            </w:r>
            <w:r>
              <w:rPr>
                <w:rFonts w:eastAsia="Calibri" w:cs="Arial"/>
                <w:i/>
                <w:iCs/>
                <w:sz w:val="26"/>
                <w:szCs w:val="22"/>
                <w:lang w:val="ru-RU" w:eastAsia="en-US" w:bidi="ar-SA"/>
              </w:rPr>
              <w:fldChar w:fldCharType="begin"/>
            </w:r>
            <w:r>
              <w:rPr>
                <w:rFonts w:eastAsia="Calibri" w:cs="Arial"/>
                <w:i/>
                <w:iCs/>
                <w:sz w:val="26"/>
                <w:szCs w:val="22"/>
                <w:lang w:val="ru-RU" w:eastAsia="en-US" w:bidi="ar-SA"/>
              </w:rPr>
              <w:instrText xml:space="preserve"> REF _Ref130985951 \r \h </w:instrText>
            </w:r>
            <w:r>
              <w:rPr>
                <w:rFonts w:eastAsia="Calibri" w:cs="Arial"/>
                <w:i/>
                <w:iCs/>
                <w:sz w:val="26"/>
                <w:szCs w:val="22"/>
                <w:lang w:val="ru-RU" w:eastAsia="en-US" w:bidi="ar-SA"/>
              </w:rPr>
              <w:fldChar w:fldCharType="separate"/>
            </w:r>
            <w:r>
              <w:rPr>
                <w:rFonts w:eastAsia="Calibri" w:cs="Arial"/>
                <w:i/>
                <w:iCs/>
                <w:sz w:val="26"/>
                <w:szCs w:val="22"/>
                <w:lang w:val="ru-RU" w:eastAsia="en-US" w:bidi="ar-SA"/>
              </w:rPr>
              <w:t xml:space="preserve">4.13</w:t>
            </w:r>
            <w:r>
              <w:rPr>
                <w:rFonts w:eastAsia="Calibri" w:cs="Arial"/>
                <w:i/>
                <w:iCs/>
                <w:sz w:val="26"/>
                <w:szCs w:val="22"/>
                <w:lang w:val="ru-RU" w:eastAsia="en-US" w:bidi="ar-SA"/>
              </w:rPr>
              <w:fldChar w:fldCharType="end"/>
            </w:r>
            <w:r>
              <w:rPr>
                <w:rFonts w:eastAsia="Calibri" w:cs="Arial"/>
                <w:i/>
                <w:iCs/>
                <w:sz w:val="26"/>
                <w:szCs w:val="22"/>
                <w:lang w:val="ru-RU" w:eastAsia="en-US" w:bidi="ar-SA"/>
              </w:rPr>
              <w:t xml:space="preserve">))</w:t>
            </w:r>
            <w:r>
              <w:rPr>
                <w:i/>
                <w:iCs/>
              </w:rPr>
            </w:r>
            <w:r>
              <w:rPr>
                <w:i/>
                <w:iCs/>
              </w:rPr>
            </w:r>
          </w:p>
        </w:tc>
        <w:tc>
          <w:tcPr>
            <w:tcW w:w="3117" w:type="dxa"/>
            <w:textDirection w:val="lrTb"/>
            <w:noWrap w:val="false"/>
          </w:tcPr>
          <w:p>
            <w:pPr>
              <w:pStyle w:val="1342"/>
              <w:jc w:val="center"/>
              <w:spacing w:before="60" w:after="60" w:line="240" w:lineRule="auto"/>
              <w:widowControl w:val="off"/>
            </w:pPr>
            <w:r>
              <w:rPr>
                <w:rFonts w:eastAsia="Calibri" w:cs="Arial"/>
                <w:sz w:val="26"/>
                <w:szCs w:val="22"/>
                <w:lang w:val="ru-RU" w:eastAsia="en-US" w:bidi="ar-SA"/>
              </w:rPr>
              <w:t xml:space="preserve">Подразделы </w:t>
            </w:r>
            <w:r>
              <w:rPr>
                <w:rFonts w:eastAsia="Calibri" w:cs="Arial"/>
                <w:sz w:val="26"/>
                <w:szCs w:val="22"/>
                <w:lang w:val="ru-RU" w:eastAsia="en-US" w:bidi="ar-SA"/>
              </w:rPr>
              <w:fldChar w:fldCharType="begin"/>
            </w:r>
            <w:r>
              <w:rPr>
                <w:rFonts w:eastAsia="Calibri" w:cs="Arial"/>
                <w:sz w:val="26"/>
                <w:szCs w:val="22"/>
                <w:lang w:val="ru-RU" w:eastAsia="en-US" w:bidi="ar-SA"/>
              </w:rPr>
              <w:instrText xml:space="preserve"> REF _Ref186213053 \r \h </w:instrText>
            </w:r>
            <w:r>
              <w:rPr>
                <w:rFonts w:eastAsia="Calibri" w:cs="Arial"/>
                <w:sz w:val="26"/>
                <w:szCs w:val="22"/>
                <w:lang w:val="ru-RU" w:eastAsia="en-US" w:bidi="ar-SA"/>
              </w:rPr>
              <w:fldChar w:fldCharType="separate"/>
            </w:r>
            <w:r>
              <w:rPr>
                <w:rFonts w:eastAsia="Calibri" w:cs="Arial"/>
                <w:sz w:val="26"/>
                <w:szCs w:val="22"/>
                <w:lang w:val="ru-RU" w:eastAsia="en-US" w:bidi="ar-SA"/>
              </w:rPr>
              <w:t xml:space="preserve">4.13</w:t>
            </w:r>
            <w:r>
              <w:rPr>
                <w:rFonts w:eastAsia="Calibri" w:cs="Arial"/>
                <w:sz w:val="26"/>
                <w:szCs w:val="22"/>
                <w:lang w:val="ru-RU" w:eastAsia="en-US" w:bidi="ar-SA"/>
              </w:rPr>
              <w:fldChar w:fldCharType="end"/>
            </w:r>
            <w:r>
              <w:rPr>
                <w:rFonts w:eastAsia="Calibri" w:cs="Arial"/>
                <w:sz w:val="26"/>
                <w:szCs w:val="22"/>
                <w:lang w:val="ru-RU" w:eastAsia="en-US" w:bidi="ar-SA"/>
              </w:rPr>
              <w:t xml:space="preserve">, </w:t>
            </w:r>
            <w:r>
              <w:rPr>
                <w:rFonts w:eastAsia="Calibri" w:cs="Arial"/>
                <w:sz w:val="26"/>
                <w:szCs w:val="22"/>
                <w:lang w:val="ru-RU" w:eastAsia="en-US" w:bidi="ar-SA"/>
              </w:rPr>
              <w:fldChar w:fldCharType="begin"/>
            </w:r>
            <w:r>
              <w:rPr>
                <w:rFonts w:eastAsia="Calibri" w:cs="Arial"/>
                <w:sz w:val="26"/>
                <w:szCs w:val="22"/>
                <w:lang w:val="ru-RU" w:eastAsia="en-US" w:bidi="ar-SA"/>
              </w:rPr>
              <w:instrText xml:space="preserve"> REF _Ref125361435 \w \h </w:instrText>
            </w:r>
            <w:r>
              <w:rPr>
                <w:rFonts w:eastAsia="Calibri" w:cs="Arial"/>
                <w:sz w:val="26"/>
                <w:szCs w:val="22"/>
                <w:lang w:val="ru-RU" w:eastAsia="en-US" w:bidi="ar-SA"/>
              </w:rPr>
              <w:fldChar w:fldCharType="separate"/>
            </w:r>
            <w:r>
              <w:rPr>
                <w:rFonts w:eastAsia="Calibri" w:cs="Arial"/>
                <w:sz w:val="26"/>
                <w:szCs w:val="22"/>
                <w:lang w:val="ru-RU" w:eastAsia="en-US" w:bidi="ar-SA"/>
              </w:rPr>
              <w:t xml:space="preserve">8.2</w:t>
            </w:r>
            <w:r>
              <w:rPr>
                <w:rFonts w:eastAsia="Calibri" w:cs="Arial"/>
                <w:sz w:val="26"/>
                <w:szCs w:val="22"/>
                <w:lang w:val="ru-RU" w:eastAsia="en-US" w:bidi="ar-SA"/>
              </w:rPr>
              <w:fldChar w:fldCharType="end"/>
            </w:r>
            <w:r>
              <w:rPr>
                <w:rFonts w:eastAsia="Calibri" w:cs="Arial"/>
                <w:sz w:val="26"/>
                <w:szCs w:val="22"/>
                <w:lang w:val="ru-RU" w:eastAsia="en-US" w:bidi="ar-SA"/>
              </w:rPr>
              <w:br/>
              <w:t xml:space="preserve">(</w:t>
            </w:r>
            <w:hyperlink w:tooltip="#Прил03_ТребованияУчастникам" w:anchor="Прил03_ТребованияУчастникам" w:history="1">
              <w:r>
                <w:rPr>
                  <w:rStyle w:val="1311"/>
                  <w:rFonts w:eastAsia="Calibri" w:cs="Arial"/>
                  <w:sz w:val="26"/>
                  <w:szCs w:val="22"/>
                  <w:lang w:val="ru-RU" w:eastAsia="en-US" w:bidi="ar-SA"/>
                </w:rPr>
                <w:t xml:space="preserve">Приложение № 3</w:t>
              </w:r>
            </w:hyperlink>
            <w:r>
              <w:rPr>
                <w:rFonts w:eastAsia="Calibri" w:cs="Arial"/>
                <w:sz w:val="26"/>
                <w:szCs w:val="22"/>
                <w:lang w:val="ru-RU" w:eastAsia="en-US" w:bidi="ar-SA"/>
              </w:rPr>
              <w:t xml:space="preserve">)</w:t>
            </w:r>
            <w:r/>
          </w:p>
        </w:tc>
        <w:tc>
          <w:tcPr>
            <w:tcW w:w="2090" w:type="dxa"/>
            <w:textDirection w:val="lrTb"/>
            <w:noWrap w:val="false"/>
          </w:tcPr>
          <w:p>
            <w:pPr>
              <w:pStyle w:val="1342"/>
              <w:jc w:val="center"/>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Тех</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r>
      <w:tr>
        <w:tblPrEx/>
        <w:trPr/>
        <w:tc>
          <w:tcPr>
            <w:tcW w:w="1412" w:type="dxa"/>
            <w:textDirection w:val="lrTb"/>
            <w:noWrap w:val="false"/>
          </w:tcPr>
          <w:p>
            <w:pPr>
              <w:pStyle w:val="1342"/>
              <w:numPr>
                <w:ilvl w:val="0"/>
                <w:numId w:val="7"/>
              </w:numPr>
              <w:ind w:left="170" w:firstLine="0"/>
              <w:jc w:val="center"/>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8506" w:type="dxa"/>
            <w:textDirection w:val="lrTb"/>
            <w:noWrap w:val="false"/>
          </w:tcPr>
          <w:p>
            <w:pPr>
              <w:pStyle w:val="1342"/>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Соответствие Участника пункту </w:t>
            </w:r>
            <w:r>
              <w:rPr>
                <w:rFonts w:eastAsia="Calibri" w:cs="Arial"/>
                <w:sz w:val="26"/>
                <w:szCs w:val="22"/>
                <w:lang w:val="ru-RU" w:eastAsia="en-US" w:bidi="ar-SA"/>
              </w:rPr>
              <w:fldChar w:fldCharType="begin"/>
            </w:r>
            <w:r>
              <w:rPr>
                <w:rFonts w:eastAsia="Calibri" w:cs="Arial"/>
                <w:sz w:val="26"/>
                <w:szCs w:val="22"/>
                <w:lang w:val="ru-RU" w:eastAsia="en-US" w:bidi="ar-SA"/>
              </w:rPr>
              <w:instrText xml:space="preserve"> REF _Ref186213327 \r \h </w:instrText>
            </w:r>
            <w:r>
              <w:rPr>
                <w:rFonts w:eastAsia="Calibri" w:cs="Arial"/>
                <w:sz w:val="26"/>
                <w:szCs w:val="22"/>
                <w:lang w:val="ru-RU" w:eastAsia="en-US" w:bidi="ar-SA"/>
              </w:rPr>
              <w:fldChar w:fldCharType="separate"/>
            </w:r>
            <w:r>
              <w:rPr>
                <w:rFonts w:eastAsia="Calibri" w:cs="Arial"/>
                <w:sz w:val="26"/>
                <w:szCs w:val="22"/>
                <w:lang w:val="ru-RU" w:eastAsia="en-US" w:bidi="ar-SA"/>
              </w:rPr>
              <w:t xml:space="preserve">4</w:t>
            </w:r>
            <w:r>
              <w:rPr>
                <w:rFonts w:eastAsia="Calibri" w:cs="Arial"/>
                <w:sz w:val="26"/>
                <w:szCs w:val="22"/>
                <w:lang w:val="ru-RU" w:eastAsia="en-US" w:bidi="ar-SA"/>
              </w:rPr>
              <w:fldChar w:fldCharType="end"/>
            </w:r>
            <w:r>
              <w:rPr>
                <w:rFonts w:eastAsia="Calibri" w:cs="Arial"/>
                <w:sz w:val="26"/>
                <w:szCs w:val="22"/>
                <w:lang w:val="ru-RU" w:eastAsia="en-US" w:bidi="ar-SA"/>
              </w:rPr>
              <w:t xml:space="preserve"> обязательных требований к Участникам</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p>
            <w:pPr>
              <w:pStyle w:val="1342"/>
              <w:spacing w:before="60" w:after="60" w:line="240" w:lineRule="auto"/>
              <w:widowControl w:val="off"/>
              <w:rPr>
                <w:i/>
                <w:iCs/>
                <w:u w:val="single"/>
              </w:rPr>
            </w:pPr>
            <w:r>
              <w:rPr>
                <w:rFonts w:eastAsia="Calibri" w:cs="Arial"/>
                <w:i/>
                <w:iCs/>
                <w:sz w:val="26"/>
                <w:szCs w:val="22"/>
                <w:u w:val="single"/>
                <w:lang w:val="ru-RU" w:eastAsia="en-US" w:bidi="ar-SA"/>
              </w:rPr>
              <w:t xml:space="preserve">(пункт применяется только в случае установления режима ограничения закупки иностранной продукции (подраздел </w:t>
            </w:r>
            <w:r>
              <w:rPr>
                <w:rFonts w:eastAsia="Calibri" w:cs="Arial"/>
                <w:i/>
                <w:iCs/>
                <w:sz w:val="26"/>
                <w:szCs w:val="22"/>
                <w:u w:val="single"/>
                <w:lang w:val="ru-RU" w:eastAsia="en-US" w:bidi="ar-SA"/>
              </w:rPr>
              <w:fldChar w:fldCharType="begin"/>
            </w:r>
            <w:r>
              <w:rPr>
                <w:rFonts w:eastAsia="Calibri" w:cs="Arial"/>
                <w:i/>
                <w:iCs/>
                <w:sz w:val="26"/>
                <w:szCs w:val="22"/>
                <w:u w:val="single"/>
                <w:lang w:val="ru-RU" w:eastAsia="en-US" w:bidi="ar-SA"/>
              </w:rPr>
              <w:instrText xml:space="preserve"> REF _Ref130985951 \r \h </w:instrText>
            </w:r>
            <w:r>
              <w:rPr>
                <w:rFonts w:eastAsia="Calibri" w:cs="Arial"/>
                <w:i/>
                <w:iCs/>
                <w:sz w:val="26"/>
                <w:szCs w:val="22"/>
                <w:u w:val="single"/>
                <w:lang w:val="ru-RU" w:eastAsia="en-US" w:bidi="ar-SA"/>
              </w:rPr>
              <w:fldChar w:fldCharType="separate"/>
            </w:r>
            <w:r>
              <w:rPr>
                <w:rFonts w:eastAsia="Calibri" w:cs="Arial"/>
                <w:i/>
                <w:iCs/>
                <w:sz w:val="26"/>
                <w:szCs w:val="22"/>
                <w:u w:val="single"/>
                <w:lang w:val="ru-RU" w:eastAsia="en-US" w:bidi="ar-SA"/>
              </w:rPr>
              <w:t xml:space="preserve">4.13</w:t>
            </w:r>
            <w:r>
              <w:rPr>
                <w:rFonts w:eastAsia="Calibri" w:cs="Arial"/>
                <w:i/>
                <w:iCs/>
                <w:sz w:val="26"/>
                <w:szCs w:val="22"/>
                <w:u w:val="single"/>
                <w:lang w:val="ru-RU" w:eastAsia="en-US" w:bidi="ar-SA"/>
              </w:rPr>
              <w:fldChar w:fldCharType="end"/>
            </w:r>
            <w:r>
              <w:rPr>
                <w:rFonts w:eastAsia="Calibri" w:cs="Arial"/>
                <w:i/>
                <w:iCs/>
                <w:sz w:val="26"/>
                <w:szCs w:val="22"/>
                <w:u w:val="single"/>
                <w:lang w:val="ru-RU" w:eastAsia="en-US" w:bidi="ar-SA"/>
              </w:rPr>
              <w:t xml:space="preserve">))</w:t>
            </w:r>
            <w:r>
              <w:rPr>
                <w:i/>
                <w:iCs/>
                <w:u w:val="single"/>
              </w:rPr>
            </w:r>
            <w:r>
              <w:rPr>
                <w:i/>
                <w:iCs/>
                <w:u w:val="single"/>
              </w:rPr>
            </w:r>
          </w:p>
        </w:tc>
        <w:tc>
          <w:tcPr>
            <w:tcW w:w="3117" w:type="dxa"/>
            <w:textDirection w:val="lrTb"/>
            <w:noWrap w:val="false"/>
          </w:tcPr>
          <w:p>
            <w:pPr>
              <w:pStyle w:val="1342"/>
              <w:jc w:val="center"/>
              <w:spacing w:before="60" w:after="60" w:line="240" w:lineRule="auto"/>
              <w:widowControl w:val="off"/>
            </w:pPr>
            <w:r>
              <w:rPr>
                <w:rFonts w:eastAsia="Calibri" w:cs="Arial"/>
                <w:sz w:val="26"/>
                <w:szCs w:val="22"/>
                <w:lang w:val="ru-RU" w:eastAsia="en-US" w:bidi="ar-SA"/>
              </w:rPr>
              <w:t xml:space="preserve">Подразделы </w:t>
            </w:r>
            <w:r>
              <w:rPr>
                <w:rFonts w:eastAsia="Calibri" w:cs="Arial"/>
                <w:sz w:val="26"/>
                <w:szCs w:val="22"/>
                <w:lang w:val="ru-RU" w:eastAsia="en-US" w:bidi="ar-SA"/>
              </w:rPr>
              <w:fldChar w:fldCharType="begin"/>
            </w:r>
            <w:r>
              <w:rPr>
                <w:rFonts w:eastAsia="Calibri" w:cs="Arial"/>
                <w:sz w:val="26"/>
                <w:szCs w:val="22"/>
                <w:lang w:val="ru-RU" w:eastAsia="en-US" w:bidi="ar-SA"/>
              </w:rPr>
              <w:instrText xml:space="preserve"> REF _Ref186213053 \r \h </w:instrText>
            </w:r>
            <w:r>
              <w:rPr>
                <w:rFonts w:eastAsia="Calibri" w:cs="Arial"/>
                <w:sz w:val="26"/>
                <w:szCs w:val="22"/>
                <w:lang w:val="ru-RU" w:eastAsia="en-US" w:bidi="ar-SA"/>
              </w:rPr>
              <w:fldChar w:fldCharType="separate"/>
            </w:r>
            <w:r>
              <w:rPr>
                <w:rFonts w:eastAsia="Calibri" w:cs="Arial"/>
                <w:sz w:val="26"/>
                <w:szCs w:val="22"/>
                <w:lang w:val="ru-RU" w:eastAsia="en-US" w:bidi="ar-SA"/>
              </w:rPr>
              <w:t xml:space="preserve">4.13</w:t>
            </w:r>
            <w:r>
              <w:rPr>
                <w:rFonts w:eastAsia="Calibri" w:cs="Arial"/>
                <w:sz w:val="26"/>
                <w:szCs w:val="22"/>
                <w:lang w:val="ru-RU" w:eastAsia="en-US" w:bidi="ar-SA"/>
              </w:rPr>
              <w:fldChar w:fldCharType="end"/>
            </w:r>
            <w:r>
              <w:rPr>
                <w:rFonts w:eastAsia="Calibri" w:cs="Arial"/>
                <w:sz w:val="26"/>
                <w:szCs w:val="22"/>
                <w:lang w:val="ru-RU" w:eastAsia="en-US" w:bidi="ar-SA"/>
              </w:rPr>
              <w:t xml:space="preserve">, </w:t>
            </w:r>
            <w:r>
              <w:rPr>
                <w:rFonts w:eastAsia="Calibri" w:cs="Arial"/>
                <w:sz w:val="26"/>
                <w:szCs w:val="22"/>
                <w:lang w:val="ru-RU" w:eastAsia="en-US" w:bidi="ar-SA"/>
              </w:rPr>
              <w:fldChar w:fldCharType="begin"/>
            </w:r>
            <w:r>
              <w:rPr>
                <w:rFonts w:eastAsia="Calibri" w:cs="Arial"/>
                <w:sz w:val="26"/>
                <w:szCs w:val="22"/>
                <w:lang w:val="ru-RU" w:eastAsia="en-US" w:bidi="ar-SA"/>
              </w:rPr>
              <w:instrText xml:space="preserve"> REF _Ref125361435 \w \h </w:instrText>
            </w:r>
            <w:r>
              <w:rPr>
                <w:rFonts w:eastAsia="Calibri" w:cs="Arial"/>
                <w:sz w:val="26"/>
                <w:szCs w:val="22"/>
                <w:lang w:val="ru-RU" w:eastAsia="en-US" w:bidi="ar-SA"/>
              </w:rPr>
              <w:fldChar w:fldCharType="separate"/>
            </w:r>
            <w:r>
              <w:rPr>
                <w:rFonts w:eastAsia="Calibri" w:cs="Arial"/>
                <w:sz w:val="26"/>
                <w:szCs w:val="22"/>
                <w:lang w:val="ru-RU" w:eastAsia="en-US" w:bidi="ar-SA"/>
              </w:rPr>
              <w:t xml:space="preserve">8.2</w:t>
            </w:r>
            <w:r>
              <w:rPr>
                <w:rFonts w:eastAsia="Calibri" w:cs="Arial"/>
                <w:sz w:val="26"/>
                <w:szCs w:val="22"/>
                <w:lang w:val="ru-RU" w:eastAsia="en-US" w:bidi="ar-SA"/>
              </w:rPr>
              <w:fldChar w:fldCharType="end"/>
            </w:r>
            <w:r>
              <w:rPr>
                <w:rFonts w:eastAsia="Calibri" w:cs="Arial"/>
                <w:sz w:val="26"/>
                <w:szCs w:val="22"/>
                <w:lang w:val="ru-RU" w:eastAsia="en-US" w:bidi="ar-SA"/>
              </w:rPr>
              <w:br/>
              <w:t xml:space="preserve">(</w:t>
            </w:r>
            <w:hyperlink w:tooltip="#Прил03_ТребованияУчастникам" w:anchor="Прил03_ТребованияУчастникам" w:history="1">
              <w:r>
                <w:rPr>
                  <w:rStyle w:val="1311"/>
                  <w:rFonts w:eastAsia="Calibri" w:cs="Arial"/>
                  <w:sz w:val="26"/>
                  <w:szCs w:val="22"/>
                  <w:lang w:val="ru-RU" w:eastAsia="en-US" w:bidi="ar-SA"/>
                </w:rPr>
                <w:t xml:space="preserve">Приложение № 3</w:t>
              </w:r>
            </w:hyperlink>
            <w:r>
              <w:rPr>
                <w:rFonts w:eastAsia="Calibri" w:cs="Arial"/>
                <w:sz w:val="26"/>
                <w:szCs w:val="22"/>
                <w:lang w:val="ru-RU" w:eastAsia="en-US" w:bidi="ar-SA"/>
              </w:rPr>
              <w:t xml:space="preserve">)</w:t>
            </w:r>
            <w:r/>
          </w:p>
        </w:tc>
        <w:tc>
          <w:tcPr>
            <w:tcW w:w="2090" w:type="dxa"/>
            <w:textDirection w:val="lrTb"/>
            <w:noWrap w:val="false"/>
          </w:tcPr>
          <w:p>
            <w:pPr>
              <w:pStyle w:val="1342"/>
              <w:jc w:val="center"/>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Тех</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r>
      <w:tr>
        <w:tblPrEx/>
        <w:trPr/>
        <w:tc>
          <w:tcPr>
            <w:tcW w:w="1412" w:type="dxa"/>
            <w:textDirection w:val="lrTb"/>
            <w:noWrap w:val="false"/>
          </w:tcPr>
          <w:p>
            <w:pPr>
              <w:pStyle w:val="1342"/>
              <w:numPr>
                <w:ilvl w:val="0"/>
                <w:numId w:val="7"/>
              </w:numPr>
              <w:ind w:left="170" w:firstLine="0"/>
              <w:jc w:val="center"/>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8506" w:type="dxa"/>
            <w:textDirection w:val="lrTb"/>
            <w:noWrap w:val="false"/>
          </w:tcPr>
          <w:p>
            <w:pPr>
              <w:pStyle w:val="1342"/>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Соответствие Участника специальным требованиям к Участникам</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p>
            <w:pPr>
              <w:pStyle w:val="1342"/>
              <w:spacing w:before="60" w:after="60" w:line="240" w:lineRule="auto"/>
              <w:widowControl w:val="off"/>
              <w:rPr>
                <w:rFonts w:ascii="Times New Roman" w:hAnsi="Times New Roman" w:eastAsia="Calibri" w:cs="Arial"/>
                <w:sz w:val="26"/>
                <w:szCs w:val="22"/>
                <w:lang w:val="ru-RU" w:eastAsia="en-US" w:bidi="ar-SA"/>
              </w:rPr>
            </w:pPr>
            <w:r>
              <w:rPr>
                <w:rFonts w:eastAsia="Calibri" w:cs="Arial"/>
                <w:i/>
                <w:iCs/>
                <w:sz w:val="26"/>
                <w:szCs w:val="22"/>
                <w:lang w:val="ru-RU" w:eastAsia="en-US" w:bidi="ar-SA"/>
              </w:rPr>
              <w:t xml:space="preserve">(пункт применяется только в случае установления соответствующих требований)</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3117" w:type="dxa"/>
            <w:textDirection w:val="lrTb"/>
            <w:noWrap w:val="false"/>
          </w:tcPr>
          <w:p>
            <w:pPr>
              <w:pStyle w:val="1342"/>
              <w:jc w:val="center"/>
              <w:spacing w:before="60" w:after="60" w:line="240" w:lineRule="auto"/>
              <w:widowControl w:val="off"/>
            </w:pPr>
            <w:r>
              <w:rPr>
                <w:rFonts w:eastAsia="Calibri" w:cs="Arial"/>
                <w:sz w:val="26"/>
                <w:szCs w:val="22"/>
                <w:lang w:val="ru-RU" w:eastAsia="en-US" w:bidi="ar-SA"/>
              </w:rPr>
              <w:t xml:space="preserve">подраздел </w:t>
            </w:r>
            <w:r>
              <w:rPr>
                <w:rFonts w:eastAsia="Calibri" w:cs="Arial"/>
                <w:sz w:val="26"/>
                <w:szCs w:val="22"/>
                <w:lang w:val="ru-RU" w:eastAsia="en-US" w:bidi="ar-SA"/>
              </w:rPr>
              <w:fldChar w:fldCharType="begin"/>
            </w:r>
            <w:r>
              <w:rPr>
                <w:rFonts w:eastAsia="Calibri" w:cs="Arial"/>
                <w:sz w:val="26"/>
                <w:szCs w:val="22"/>
                <w:lang w:val="ru-RU" w:eastAsia="en-US" w:bidi="ar-SA"/>
              </w:rPr>
              <w:instrText xml:space="preserve"> REF _Ref125361442 \r \h </w:instrText>
            </w:r>
            <w:r>
              <w:rPr>
                <w:rFonts w:eastAsia="Calibri" w:cs="Arial"/>
                <w:sz w:val="26"/>
                <w:szCs w:val="22"/>
                <w:lang w:val="ru-RU" w:eastAsia="en-US" w:bidi="ar-SA"/>
              </w:rPr>
              <w:fldChar w:fldCharType="separate"/>
            </w:r>
            <w:r>
              <w:rPr>
                <w:rFonts w:eastAsia="Calibri" w:cs="Arial"/>
                <w:sz w:val="26"/>
                <w:szCs w:val="22"/>
                <w:lang w:val="ru-RU" w:eastAsia="en-US" w:bidi="ar-SA"/>
              </w:rPr>
              <w:t xml:space="preserve">8.3</w:t>
            </w:r>
            <w:r>
              <w:rPr>
                <w:rFonts w:eastAsia="Calibri" w:cs="Arial"/>
                <w:sz w:val="26"/>
                <w:szCs w:val="22"/>
                <w:lang w:val="ru-RU" w:eastAsia="en-US" w:bidi="ar-SA"/>
              </w:rPr>
              <w:fldChar w:fldCharType="end"/>
            </w:r>
            <w:r>
              <w:rPr>
                <w:rFonts w:eastAsia="Calibri" w:cs="Arial"/>
                <w:sz w:val="26"/>
                <w:szCs w:val="22"/>
                <w:lang w:val="ru-RU" w:eastAsia="en-US" w:bidi="ar-SA"/>
              </w:rPr>
              <w:br/>
              <w:t xml:space="preserve">(</w:t>
            </w:r>
            <w:hyperlink w:tooltip="#Прил03_ТребованияУчастникам" w:anchor="Прил03_ТребованияУчастникам" w:history="1">
              <w:r>
                <w:rPr>
                  <w:rStyle w:val="1311"/>
                  <w:rFonts w:eastAsia="Calibri" w:cs="Arial"/>
                  <w:sz w:val="26"/>
                  <w:szCs w:val="22"/>
                  <w:lang w:val="ru-RU" w:eastAsia="en-US" w:bidi="ar-SA"/>
                </w:rPr>
                <w:t xml:space="preserve">Приложение № 3</w:t>
              </w:r>
            </w:hyperlink>
            <w:r>
              <w:rPr>
                <w:rFonts w:eastAsia="Calibri" w:cs="Arial"/>
                <w:sz w:val="26"/>
                <w:szCs w:val="22"/>
                <w:lang w:val="ru-RU" w:eastAsia="en-US" w:bidi="ar-SA"/>
              </w:rPr>
              <w:t xml:space="preserve">)</w:t>
            </w:r>
            <w:r/>
          </w:p>
        </w:tc>
        <w:tc>
          <w:tcPr>
            <w:tcW w:w="2090" w:type="dxa"/>
            <w:textDirection w:val="lrTb"/>
            <w:noWrap w:val="false"/>
          </w:tcPr>
          <w:p>
            <w:pPr>
              <w:pStyle w:val="1342"/>
              <w:jc w:val="center"/>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Тех</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r>
      <w:tr>
        <w:tblPrEx/>
        <w:trPr/>
        <w:tc>
          <w:tcPr>
            <w:tcW w:w="1412" w:type="dxa"/>
            <w:textDirection w:val="lrTb"/>
            <w:noWrap w:val="false"/>
          </w:tcPr>
          <w:p>
            <w:pPr>
              <w:pStyle w:val="1342"/>
              <w:numPr>
                <w:ilvl w:val="0"/>
                <w:numId w:val="7"/>
              </w:numPr>
              <w:ind w:left="170" w:firstLine="0"/>
              <w:jc w:val="center"/>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8506" w:type="dxa"/>
            <w:textDirection w:val="lrTb"/>
            <w:noWrap w:val="false"/>
          </w:tcPr>
          <w:p>
            <w:pPr>
              <w:pStyle w:val="1342"/>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Соответствие Участника квалификационным требованиям к Участникам</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p>
            <w:pPr>
              <w:pStyle w:val="1342"/>
              <w:spacing w:before="60" w:after="60" w:line="240" w:lineRule="auto"/>
              <w:widowControl w:val="off"/>
              <w:rPr>
                <w:rFonts w:ascii="Times New Roman" w:hAnsi="Times New Roman" w:eastAsia="Calibri" w:cs="Arial"/>
                <w:sz w:val="26"/>
                <w:szCs w:val="22"/>
                <w:lang w:val="ru-RU" w:eastAsia="en-US" w:bidi="ar-SA"/>
              </w:rPr>
            </w:pPr>
            <w:r>
              <w:rPr>
                <w:rFonts w:eastAsia="Calibri" w:cs="Arial"/>
                <w:i/>
                <w:iCs/>
                <w:sz w:val="26"/>
                <w:szCs w:val="22"/>
                <w:lang w:val="ru-RU" w:eastAsia="en-US" w:bidi="ar-SA"/>
              </w:rPr>
              <w:t xml:space="preserve">(пункт применяется только в случае установления соответствующих требований)</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3117" w:type="dxa"/>
            <w:textDirection w:val="lrTb"/>
            <w:noWrap w:val="false"/>
          </w:tcPr>
          <w:p>
            <w:pPr>
              <w:pStyle w:val="1342"/>
              <w:jc w:val="center"/>
              <w:spacing w:before="60" w:after="60" w:line="240" w:lineRule="auto"/>
              <w:widowControl w:val="off"/>
            </w:pPr>
            <w:r>
              <w:rPr>
                <w:rFonts w:eastAsia="Calibri" w:cs="Arial"/>
                <w:sz w:val="26"/>
                <w:szCs w:val="22"/>
                <w:lang w:val="ru-RU" w:eastAsia="en-US" w:bidi="ar-SA"/>
              </w:rPr>
              <w:t xml:space="preserve">подраздел </w:t>
            </w:r>
            <w:r>
              <w:rPr>
                <w:rFonts w:eastAsia="Calibri" w:cs="Arial"/>
                <w:sz w:val="26"/>
                <w:szCs w:val="22"/>
                <w:lang w:val="ru-RU" w:eastAsia="en-US" w:bidi="ar-SA"/>
              </w:rPr>
              <w:fldChar w:fldCharType="begin"/>
            </w:r>
            <w:r>
              <w:rPr>
                <w:rFonts w:eastAsia="Calibri" w:cs="Arial"/>
                <w:sz w:val="26"/>
                <w:szCs w:val="22"/>
                <w:lang w:val="ru-RU" w:eastAsia="en-US" w:bidi="ar-SA"/>
              </w:rPr>
              <w:instrText xml:space="preserve"> REF _Ref125550270 \r \h </w:instrText>
            </w:r>
            <w:r>
              <w:rPr>
                <w:rFonts w:eastAsia="Calibri" w:cs="Arial"/>
                <w:sz w:val="26"/>
                <w:szCs w:val="22"/>
                <w:lang w:val="ru-RU" w:eastAsia="en-US" w:bidi="ar-SA"/>
              </w:rPr>
              <w:fldChar w:fldCharType="separate"/>
            </w:r>
            <w:r>
              <w:rPr>
                <w:rFonts w:eastAsia="Calibri" w:cs="Arial"/>
                <w:sz w:val="26"/>
                <w:szCs w:val="22"/>
                <w:lang w:val="ru-RU" w:eastAsia="en-US" w:bidi="ar-SA"/>
              </w:rPr>
              <w:t xml:space="preserve">8.4</w:t>
            </w:r>
            <w:r>
              <w:rPr>
                <w:rFonts w:eastAsia="Calibri" w:cs="Arial"/>
                <w:sz w:val="26"/>
                <w:szCs w:val="22"/>
                <w:lang w:val="ru-RU" w:eastAsia="en-US" w:bidi="ar-SA"/>
              </w:rPr>
              <w:fldChar w:fldCharType="end"/>
            </w:r>
            <w:r>
              <w:rPr>
                <w:rFonts w:eastAsia="Calibri" w:cs="Arial"/>
                <w:sz w:val="26"/>
                <w:szCs w:val="22"/>
                <w:lang w:val="ru-RU" w:eastAsia="en-US" w:bidi="ar-SA"/>
              </w:rPr>
              <w:br/>
              <w:t xml:space="preserve">(</w:t>
            </w:r>
            <w:hyperlink w:tooltip="#Прил03_ТребованияУчастникам" w:anchor="Прил03_ТребованияУчастникам" w:history="1">
              <w:r>
                <w:rPr>
                  <w:rStyle w:val="1311"/>
                  <w:rFonts w:eastAsia="Calibri" w:cs="Arial"/>
                  <w:sz w:val="26"/>
                  <w:szCs w:val="22"/>
                  <w:lang w:val="ru-RU" w:eastAsia="en-US" w:bidi="ar-SA"/>
                </w:rPr>
                <w:t xml:space="preserve">Приложение № 3</w:t>
              </w:r>
            </w:hyperlink>
            <w:r>
              <w:rPr>
                <w:rFonts w:eastAsia="Calibri" w:cs="Arial"/>
                <w:sz w:val="26"/>
                <w:szCs w:val="22"/>
                <w:lang w:val="ru-RU" w:eastAsia="en-US" w:bidi="ar-SA"/>
              </w:rPr>
              <w:t xml:space="preserve">)</w:t>
            </w:r>
            <w:r/>
          </w:p>
        </w:tc>
        <w:tc>
          <w:tcPr>
            <w:tcW w:w="2090" w:type="dxa"/>
            <w:textDirection w:val="lrTb"/>
            <w:noWrap w:val="false"/>
          </w:tcPr>
          <w:p>
            <w:pPr>
              <w:pStyle w:val="1342"/>
              <w:jc w:val="center"/>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Тех</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r>
      <w:tr>
        <w:tblPrEx/>
        <w:trPr/>
        <w:tc>
          <w:tcPr>
            <w:tcW w:w="1412" w:type="dxa"/>
            <w:textDirection w:val="lrTb"/>
            <w:noWrap w:val="false"/>
          </w:tcPr>
          <w:p>
            <w:pPr>
              <w:pStyle w:val="1342"/>
              <w:numPr>
                <w:ilvl w:val="0"/>
                <w:numId w:val="7"/>
              </w:numPr>
              <w:ind w:left="170" w:firstLine="0"/>
              <w:jc w:val="center"/>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8506" w:type="dxa"/>
            <w:textDirection w:val="lrTb"/>
            <w:noWrap w:val="false"/>
          </w:tcPr>
          <w:p>
            <w:pPr>
              <w:pStyle w:val="1342"/>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Соответствие Коллективного участника установленным в отношении его требованиям:</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p>
            <w:pPr>
              <w:pStyle w:val="1342"/>
              <w:spacing w:before="60" w:after="60" w:line="240" w:lineRule="auto"/>
              <w:widowControl w:val="off"/>
              <w:rPr>
                <w:rFonts w:ascii="Times New Roman" w:hAnsi="Times New Roman" w:eastAsia="Calibri" w:cs="Arial"/>
                <w:sz w:val="26"/>
                <w:szCs w:val="22"/>
                <w:lang w:val="ru-RU" w:eastAsia="en-US" w:bidi="ar-SA"/>
              </w:rPr>
            </w:pPr>
            <w:r>
              <w:rPr>
                <w:rFonts w:eastAsia="Calibri" w:cs="Arial"/>
                <w:i/>
                <w:iCs/>
                <w:sz w:val="26"/>
                <w:szCs w:val="22"/>
                <w:lang w:val="ru-RU" w:eastAsia="en-US" w:bidi="ar-SA"/>
              </w:rPr>
              <w:t xml:space="preserve">(пункт применяется только в случае рассмотрения заявки, поданной Коллективным участником (подраздел </w:t>
            </w:r>
            <w:r>
              <w:rPr>
                <w:rFonts w:eastAsia="Calibri" w:cs="Arial"/>
                <w:i/>
                <w:iCs/>
                <w:sz w:val="26"/>
                <w:szCs w:val="22"/>
                <w:lang w:val="ru-RU" w:eastAsia="en-US" w:bidi="ar-SA"/>
              </w:rPr>
              <w:fldChar w:fldCharType="begin"/>
            </w:r>
            <w:r>
              <w:rPr>
                <w:rFonts w:eastAsia="Calibri" w:cs="Arial"/>
                <w:i/>
                <w:iCs/>
                <w:sz w:val="26"/>
                <w:szCs w:val="22"/>
                <w:lang w:val="ru-RU" w:eastAsia="en-US" w:bidi="ar-SA"/>
              </w:rPr>
              <w:instrText xml:space="preserve"> REF _Ref130305355 \r \h </w:instrText>
            </w:r>
            <w:r>
              <w:rPr>
                <w:rFonts w:eastAsia="Calibri" w:cs="Arial"/>
                <w:i/>
                <w:iCs/>
                <w:sz w:val="26"/>
                <w:szCs w:val="22"/>
                <w:lang w:val="ru-RU" w:eastAsia="en-US" w:bidi="ar-SA"/>
              </w:rPr>
              <w:fldChar w:fldCharType="separate"/>
            </w:r>
            <w:r>
              <w:rPr>
                <w:rFonts w:eastAsia="Calibri" w:cs="Arial"/>
                <w:i/>
                <w:iCs/>
                <w:sz w:val="26"/>
                <w:szCs w:val="22"/>
                <w:lang w:val="ru-RU" w:eastAsia="en-US" w:bidi="ar-SA"/>
              </w:rPr>
              <w:t xml:space="preserve">3.2</w:t>
            </w:r>
            <w:r>
              <w:rPr>
                <w:rFonts w:eastAsia="Calibri" w:cs="Arial"/>
                <w:i/>
                <w:iCs/>
                <w:sz w:val="26"/>
                <w:szCs w:val="22"/>
                <w:lang w:val="ru-RU" w:eastAsia="en-US" w:bidi="ar-SA"/>
              </w:rPr>
              <w:fldChar w:fldCharType="end"/>
            </w:r>
            <w:r>
              <w:rPr>
                <w:rFonts w:eastAsia="Calibri" w:cs="Arial"/>
                <w:i/>
                <w:iCs/>
                <w:sz w:val="26"/>
                <w:szCs w:val="22"/>
                <w:lang w:val="ru-RU" w:eastAsia="en-US" w:bidi="ar-SA"/>
              </w:rPr>
              <w:t xml:space="preserve">))</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3117" w:type="dxa"/>
            <w:textDirection w:val="lrTb"/>
            <w:noWrap w:val="false"/>
          </w:tcPr>
          <w:p>
            <w:pPr>
              <w:pStyle w:val="1342"/>
              <w:jc w:val="center"/>
              <w:spacing w:before="60" w:after="60" w:line="240" w:lineRule="auto"/>
              <w:widowControl w:val="off"/>
              <w:rPr>
                <w:rFonts w:ascii="Times New Roman" w:hAnsi="Times New Roman" w:eastAsia="Calibri" w:cs="Arial"/>
                <w:sz w:val="26"/>
                <w:szCs w:val="22"/>
                <w:lang w:val="ru-RU" w:eastAsia="en-US" w:bidi="ar-SA"/>
              </w:rPr>
            </w:pPr>
            <w:r>
              <w:rPr>
                <w:rFonts w:eastAsia="Calibri" w:cs="Arial"/>
                <w:b/>
                <w:bCs/>
                <w:sz w:val="26"/>
                <w:szCs w:val="22"/>
                <w:lang w:val="ru-RU" w:eastAsia="en-US" w:bidi="ar-SA"/>
              </w:rPr>
              <w:t xml:space="preserve">–</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2090" w:type="dxa"/>
            <w:textDirection w:val="lrTb"/>
            <w:noWrap w:val="false"/>
          </w:tcPr>
          <w:p>
            <w:pPr>
              <w:pStyle w:val="1342"/>
              <w:jc w:val="center"/>
              <w:spacing w:before="60" w:after="60" w:line="240" w:lineRule="auto"/>
              <w:widowControl w:val="off"/>
              <w:rPr>
                <w:rFonts w:ascii="Times New Roman" w:hAnsi="Times New Roman" w:eastAsia="Calibri" w:cs="Arial"/>
                <w:sz w:val="26"/>
                <w:szCs w:val="22"/>
                <w:lang w:val="ru-RU" w:eastAsia="en-US" w:bidi="ar-SA"/>
              </w:rPr>
            </w:pPr>
            <w:r>
              <w:rPr>
                <w:rFonts w:eastAsia="Calibri" w:cs="Arial"/>
                <w:b/>
                <w:bCs/>
                <w:sz w:val="26"/>
                <w:szCs w:val="22"/>
                <w:lang w:val="ru-RU" w:eastAsia="en-US" w:bidi="ar-SA"/>
              </w:rPr>
              <w:t xml:space="preserve">–</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r>
      <w:tr>
        <w:tblPrEx/>
        <w:trPr/>
        <w:tc>
          <w:tcPr>
            <w:tcW w:w="1412" w:type="dxa"/>
            <w:textDirection w:val="lrTb"/>
            <w:noWrap w:val="false"/>
          </w:tcPr>
          <w:p>
            <w:pPr>
              <w:pStyle w:val="1342"/>
              <w:numPr>
                <w:ilvl w:val="1"/>
                <w:numId w:val="7"/>
              </w:numPr>
              <w:ind w:left="170" w:firstLine="0"/>
              <w:jc w:val="center"/>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8506" w:type="dxa"/>
            <w:textDirection w:val="lrTb"/>
            <w:noWrap w:val="false"/>
          </w:tcPr>
          <w:p>
            <w:pPr>
              <w:pStyle w:val="1342"/>
              <w:numPr>
                <w:ilvl w:val="0"/>
                <w:numId w:val="9"/>
              </w:numPr>
              <w:ind w:left="284" w:hanging="284"/>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в части требований пункта </w:t>
            </w:r>
            <w:r>
              <w:rPr>
                <w:rFonts w:eastAsia="Calibri" w:cs="Arial"/>
                <w:sz w:val="26"/>
                <w:szCs w:val="22"/>
                <w:lang w:val="ru-RU" w:eastAsia="en-US" w:bidi="ar-SA"/>
              </w:rPr>
              <w:fldChar w:fldCharType="begin"/>
            </w:r>
            <w:r>
              <w:rPr>
                <w:rFonts w:eastAsia="Calibri" w:cs="Arial"/>
                <w:sz w:val="26"/>
                <w:szCs w:val="22"/>
                <w:lang w:val="ru-RU" w:eastAsia="en-US" w:bidi="ar-SA"/>
              </w:rPr>
              <w:instrText xml:space="preserve"> REF _Ref125370156 \w \h </w:instrText>
            </w:r>
            <w:r>
              <w:rPr>
                <w:rFonts w:eastAsia="Calibri" w:cs="Arial"/>
                <w:sz w:val="26"/>
                <w:szCs w:val="22"/>
                <w:lang w:val="ru-RU" w:eastAsia="en-US" w:bidi="ar-SA"/>
              </w:rPr>
              <w:fldChar w:fldCharType="separate"/>
            </w:r>
            <w:r>
              <w:rPr>
                <w:rFonts w:eastAsia="Calibri" w:cs="Arial"/>
                <w:sz w:val="26"/>
                <w:szCs w:val="22"/>
                <w:lang w:val="ru-RU" w:eastAsia="en-US" w:bidi="ar-SA"/>
              </w:rPr>
              <w:t xml:space="preserve">1</w:t>
            </w:r>
            <w:r>
              <w:rPr>
                <w:rFonts w:eastAsia="Calibri" w:cs="Arial"/>
                <w:sz w:val="26"/>
                <w:szCs w:val="22"/>
                <w:lang w:val="ru-RU" w:eastAsia="en-US" w:bidi="ar-SA"/>
              </w:rPr>
              <w:fldChar w:fldCharType="end"/>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p>
            <w:pPr>
              <w:pStyle w:val="1342"/>
              <w:ind w:left="219" w:firstLine="0"/>
              <w:spacing w:before="60" w:after="60" w:line="240" w:lineRule="auto"/>
              <w:widowControl w:val="off"/>
              <w:rPr>
                <w:rFonts w:ascii="Times New Roman" w:hAnsi="Times New Roman" w:eastAsia="Calibri" w:cs="Arial"/>
                <w:sz w:val="26"/>
                <w:szCs w:val="22"/>
                <w:lang w:val="ru-RU" w:eastAsia="en-US" w:bidi="ar-SA"/>
              </w:rPr>
            </w:pPr>
            <w:r>
              <w:rPr>
                <w:rFonts w:eastAsia="Calibri" w:cs="Arial"/>
                <w:i/>
                <w:iCs/>
                <w:sz w:val="26"/>
                <w:szCs w:val="22"/>
                <w:lang w:val="ru-RU" w:eastAsia="en-US" w:bidi="ar-SA"/>
              </w:rPr>
              <w:t xml:space="preserve">(в рамках заключения Договора Победитель в целях подтверждения своего соответствия предоставляет документы в порядке, предусмотренном подразделом </w:t>
            </w:r>
            <w:r>
              <w:rPr>
                <w:rFonts w:eastAsia="Calibri" w:cs="Arial"/>
                <w:i/>
                <w:iCs/>
                <w:sz w:val="26"/>
                <w:szCs w:val="22"/>
                <w:lang w:val="ru-RU" w:eastAsia="en-US" w:bidi="ar-SA"/>
              </w:rPr>
              <w:fldChar w:fldCharType="begin"/>
            </w:r>
            <w:r>
              <w:rPr>
                <w:rFonts w:eastAsia="Calibri" w:cs="Arial"/>
                <w:i/>
                <w:iCs/>
                <w:sz w:val="26"/>
                <w:szCs w:val="22"/>
                <w:lang w:val="ru-RU" w:eastAsia="en-US" w:bidi="ar-SA"/>
              </w:rPr>
              <w:instrText xml:space="preserve"> REF _Ref138232981 \r \h </w:instrText>
            </w:r>
            <w:r>
              <w:rPr>
                <w:rFonts w:eastAsia="Calibri" w:cs="Arial"/>
                <w:i/>
                <w:iCs/>
                <w:sz w:val="26"/>
                <w:szCs w:val="22"/>
                <w:lang w:val="ru-RU" w:eastAsia="en-US" w:bidi="ar-SA"/>
              </w:rPr>
              <w:fldChar w:fldCharType="separate"/>
            </w:r>
            <w:r>
              <w:rPr>
                <w:rFonts w:eastAsia="Calibri" w:cs="Arial"/>
                <w:i/>
                <w:iCs/>
                <w:sz w:val="26"/>
                <w:szCs w:val="22"/>
                <w:lang w:val="ru-RU" w:eastAsia="en-US" w:bidi="ar-SA"/>
              </w:rPr>
              <w:t xml:space="preserve">5.2</w:t>
            </w:r>
            <w:r>
              <w:rPr>
                <w:rFonts w:eastAsia="Calibri" w:cs="Arial"/>
                <w:i/>
                <w:iCs/>
                <w:sz w:val="26"/>
                <w:szCs w:val="22"/>
                <w:lang w:val="ru-RU" w:eastAsia="en-US" w:bidi="ar-SA"/>
              </w:rPr>
              <w:fldChar w:fldCharType="end"/>
            </w:r>
            <w:r>
              <w:rPr>
                <w:rFonts w:eastAsia="Calibri" w:cs="Arial"/>
                <w:i/>
                <w:iCs/>
                <w:sz w:val="26"/>
                <w:szCs w:val="22"/>
                <w:lang w:val="ru-RU" w:eastAsia="en-US" w:bidi="ar-SA"/>
              </w:rPr>
              <w:t xml:space="preserve">)</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3117" w:type="dxa"/>
            <w:textDirection w:val="lrTb"/>
            <w:noWrap w:val="false"/>
          </w:tcPr>
          <w:p>
            <w:pPr>
              <w:pStyle w:val="1342"/>
              <w:jc w:val="center"/>
              <w:spacing w:before="60" w:after="60" w:line="240" w:lineRule="auto"/>
              <w:widowControl w:val="off"/>
            </w:pPr>
            <w:r>
              <w:rPr>
                <w:rFonts w:eastAsia="Calibri" w:cs="Arial"/>
                <w:sz w:val="26"/>
                <w:szCs w:val="22"/>
                <w:lang w:val="ru-RU" w:eastAsia="en-US" w:bidi="ar-SA"/>
              </w:rPr>
              <w:t xml:space="preserve">подраздел </w:t>
            </w:r>
            <w:r>
              <w:rPr>
                <w:rFonts w:eastAsia="Calibri" w:cs="Arial"/>
                <w:sz w:val="26"/>
                <w:szCs w:val="22"/>
                <w:lang w:val="ru-RU" w:eastAsia="en-US" w:bidi="ar-SA"/>
              </w:rPr>
              <w:fldChar w:fldCharType="begin"/>
            </w:r>
            <w:r>
              <w:rPr>
                <w:rFonts w:eastAsia="Calibri" w:cs="Arial"/>
                <w:sz w:val="26"/>
                <w:szCs w:val="22"/>
                <w:lang w:val="ru-RU" w:eastAsia="en-US" w:bidi="ar-SA"/>
              </w:rPr>
              <w:instrText xml:space="preserve"> REF _Ref125552455 \r \h </w:instrText>
            </w:r>
            <w:r>
              <w:rPr>
                <w:rFonts w:eastAsia="Calibri" w:cs="Arial"/>
                <w:sz w:val="26"/>
                <w:szCs w:val="22"/>
                <w:lang w:val="ru-RU" w:eastAsia="en-US" w:bidi="ar-SA"/>
              </w:rPr>
              <w:fldChar w:fldCharType="separate"/>
            </w:r>
            <w:r>
              <w:rPr>
                <w:rFonts w:eastAsia="Calibri" w:cs="Arial"/>
                <w:sz w:val="26"/>
                <w:szCs w:val="22"/>
                <w:lang w:val="ru-RU" w:eastAsia="en-US" w:bidi="ar-SA"/>
              </w:rPr>
              <w:t xml:space="preserve">8.5</w:t>
            </w:r>
            <w:r>
              <w:rPr>
                <w:rFonts w:eastAsia="Calibri" w:cs="Arial"/>
                <w:sz w:val="26"/>
                <w:szCs w:val="22"/>
                <w:lang w:val="ru-RU" w:eastAsia="en-US" w:bidi="ar-SA"/>
              </w:rPr>
              <w:fldChar w:fldCharType="end"/>
            </w:r>
            <w:r>
              <w:rPr>
                <w:rFonts w:eastAsia="Calibri" w:cs="Arial"/>
                <w:sz w:val="26"/>
                <w:szCs w:val="22"/>
                <w:lang w:val="ru-RU" w:eastAsia="en-US" w:bidi="ar-SA"/>
              </w:rPr>
              <w:br/>
              <w:t xml:space="preserve">(</w:t>
            </w:r>
            <w:hyperlink w:tooltip="#Прил03_ТребованияУчастникам" w:anchor="Прил03_ТребованияУчастникам" w:history="1">
              <w:r>
                <w:rPr>
                  <w:rStyle w:val="1311"/>
                  <w:rFonts w:eastAsia="Calibri" w:cs="Arial"/>
                  <w:sz w:val="26"/>
                  <w:szCs w:val="22"/>
                  <w:lang w:val="ru-RU" w:eastAsia="en-US" w:bidi="ar-SA"/>
                </w:rPr>
                <w:t xml:space="preserve">Приложение № 3</w:t>
              </w:r>
            </w:hyperlink>
            <w:r>
              <w:rPr>
                <w:rFonts w:eastAsia="Calibri" w:cs="Arial"/>
                <w:sz w:val="26"/>
                <w:szCs w:val="22"/>
                <w:lang w:val="ru-RU" w:eastAsia="en-US" w:bidi="ar-SA"/>
              </w:rPr>
              <w:t xml:space="preserve">)</w:t>
            </w:r>
            <w:r/>
          </w:p>
        </w:tc>
        <w:tc>
          <w:tcPr>
            <w:tcW w:w="2090" w:type="dxa"/>
            <w:textDirection w:val="lrTb"/>
            <w:noWrap w:val="false"/>
          </w:tcPr>
          <w:p>
            <w:pPr>
              <w:pStyle w:val="1342"/>
              <w:jc w:val="center"/>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Юр</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r>
      <w:tr>
        <w:tblPrEx/>
        <w:trPr/>
        <w:tc>
          <w:tcPr>
            <w:tcW w:w="1412" w:type="dxa"/>
            <w:textDirection w:val="lrTb"/>
            <w:noWrap w:val="false"/>
          </w:tcPr>
          <w:p>
            <w:pPr>
              <w:pStyle w:val="1342"/>
              <w:numPr>
                <w:ilvl w:val="1"/>
                <w:numId w:val="7"/>
              </w:numPr>
              <w:ind w:left="170" w:firstLine="0"/>
              <w:jc w:val="center"/>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8506" w:type="dxa"/>
            <w:textDirection w:val="lrTb"/>
            <w:noWrap w:val="false"/>
          </w:tcPr>
          <w:p>
            <w:pPr>
              <w:pStyle w:val="1342"/>
              <w:numPr>
                <w:ilvl w:val="0"/>
                <w:numId w:val="9"/>
              </w:numPr>
              <w:ind w:left="284" w:hanging="284"/>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в части требований пункта </w:t>
            </w:r>
            <w:r>
              <w:rPr>
                <w:rFonts w:eastAsia="Calibri" w:cs="Arial"/>
                <w:sz w:val="26"/>
                <w:szCs w:val="22"/>
                <w:lang w:val="ru-RU" w:eastAsia="en-US" w:bidi="ar-SA"/>
              </w:rPr>
              <w:fldChar w:fldCharType="begin"/>
            </w:r>
            <w:r>
              <w:rPr>
                <w:rFonts w:eastAsia="Calibri" w:cs="Arial"/>
                <w:sz w:val="26"/>
                <w:szCs w:val="22"/>
                <w:lang w:val="ru-RU" w:eastAsia="en-US" w:bidi="ar-SA"/>
              </w:rPr>
              <w:instrText xml:space="preserve"> REF _Ref125553738 \w \h </w:instrText>
            </w:r>
            <w:r>
              <w:rPr>
                <w:rFonts w:eastAsia="Calibri" w:cs="Arial"/>
                <w:sz w:val="26"/>
                <w:szCs w:val="22"/>
                <w:lang w:val="ru-RU" w:eastAsia="en-US" w:bidi="ar-SA"/>
              </w:rPr>
              <w:fldChar w:fldCharType="separate"/>
            </w:r>
            <w:r>
              <w:rPr>
                <w:rFonts w:eastAsia="Calibri" w:cs="Arial"/>
                <w:sz w:val="26"/>
                <w:szCs w:val="22"/>
                <w:lang w:val="ru-RU" w:eastAsia="en-US" w:bidi="ar-SA"/>
              </w:rPr>
              <w:t xml:space="preserve">2</w:t>
            </w:r>
            <w:r>
              <w:rPr>
                <w:rFonts w:eastAsia="Calibri" w:cs="Arial"/>
                <w:sz w:val="26"/>
                <w:szCs w:val="22"/>
                <w:lang w:val="ru-RU" w:eastAsia="en-US" w:bidi="ar-SA"/>
              </w:rPr>
              <w:fldChar w:fldCharType="end"/>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3117" w:type="dxa"/>
            <w:textDirection w:val="lrTb"/>
            <w:noWrap w:val="false"/>
          </w:tcPr>
          <w:p>
            <w:pPr>
              <w:pStyle w:val="1342"/>
              <w:jc w:val="center"/>
              <w:spacing w:before="60" w:after="60" w:line="240" w:lineRule="auto"/>
              <w:widowControl w:val="off"/>
            </w:pPr>
            <w:r>
              <w:rPr>
                <w:rFonts w:eastAsia="Calibri" w:cs="Arial"/>
                <w:sz w:val="26"/>
                <w:szCs w:val="22"/>
                <w:lang w:val="ru-RU" w:eastAsia="en-US" w:bidi="ar-SA"/>
              </w:rPr>
              <w:t xml:space="preserve">подраздел </w:t>
            </w:r>
            <w:r>
              <w:rPr>
                <w:rFonts w:eastAsia="Calibri" w:cs="Arial"/>
                <w:sz w:val="26"/>
                <w:szCs w:val="22"/>
                <w:lang w:val="ru-RU" w:eastAsia="en-US" w:bidi="ar-SA"/>
              </w:rPr>
              <w:fldChar w:fldCharType="begin"/>
            </w:r>
            <w:r>
              <w:rPr>
                <w:rFonts w:eastAsia="Calibri" w:cs="Arial"/>
                <w:sz w:val="26"/>
                <w:szCs w:val="22"/>
                <w:lang w:val="ru-RU" w:eastAsia="en-US" w:bidi="ar-SA"/>
              </w:rPr>
              <w:instrText xml:space="preserve"> REF _Ref125552455 \r \h </w:instrText>
            </w:r>
            <w:r>
              <w:rPr>
                <w:rFonts w:eastAsia="Calibri" w:cs="Arial"/>
                <w:sz w:val="26"/>
                <w:szCs w:val="22"/>
                <w:lang w:val="ru-RU" w:eastAsia="en-US" w:bidi="ar-SA"/>
              </w:rPr>
              <w:fldChar w:fldCharType="separate"/>
            </w:r>
            <w:r>
              <w:rPr>
                <w:rFonts w:eastAsia="Calibri" w:cs="Arial"/>
                <w:sz w:val="26"/>
                <w:szCs w:val="22"/>
                <w:lang w:val="ru-RU" w:eastAsia="en-US" w:bidi="ar-SA"/>
              </w:rPr>
              <w:t xml:space="preserve">8.5</w:t>
            </w:r>
            <w:r>
              <w:rPr>
                <w:rFonts w:eastAsia="Calibri" w:cs="Arial"/>
                <w:sz w:val="26"/>
                <w:szCs w:val="22"/>
                <w:lang w:val="ru-RU" w:eastAsia="en-US" w:bidi="ar-SA"/>
              </w:rPr>
              <w:fldChar w:fldCharType="end"/>
            </w:r>
            <w:r>
              <w:rPr>
                <w:rFonts w:eastAsia="Calibri" w:cs="Arial"/>
                <w:sz w:val="26"/>
                <w:szCs w:val="22"/>
                <w:lang w:val="ru-RU" w:eastAsia="en-US" w:bidi="ar-SA"/>
              </w:rPr>
              <w:br/>
              <w:t xml:space="preserve">(</w:t>
            </w:r>
            <w:hyperlink w:tooltip="#Прил03_ТребованияУчастникам" w:anchor="Прил03_ТребованияУчастникам" w:history="1">
              <w:r>
                <w:rPr>
                  <w:rStyle w:val="1311"/>
                  <w:rFonts w:eastAsia="Calibri" w:cs="Arial"/>
                  <w:sz w:val="26"/>
                  <w:szCs w:val="22"/>
                  <w:lang w:val="ru-RU" w:eastAsia="en-US" w:bidi="ar-SA"/>
                </w:rPr>
                <w:t xml:space="preserve">Приложение № 3</w:t>
              </w:r>
            </w:hyperlink>
            <w:r>
              <w:rPr>
                <w:rFonts w:eastAsia="Calibri" w:cs="Arial"/>
                <w:sz w:val="26"/>
                <w:szCs w:val="22"/>
                <w:lang w:val="ru-RU" w:eastAsia="en-US" w:bidi="ar-SA"/>
              </w:rPr>
              <w:t xml:space="preserve">)</w:t>
            </w:r>
            <w:r/>
          </w:p>
        </w:tc>
        <w:tc>
          <w:tcPr>
            <w:tcW w:w="2090" w:type="dxa"/>
            <w:textDirection w:val="lrTb"/>
            <w:noWrap w:val="false"/>
          </w:tcPr>
          <w:p>
            <w:pPr>
              <w:pStyle w:val="1342"/>
              <w:jc w:val="center"/>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Тех</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r>
      <w:tr>
        <w:tblPrEx/>
        <w:trPr/>
        <w:tc>
          <w:tcPr>
            <w:tcW w:w="1412" w:type="dxa"/>
            <w:textDirection w:val="lrTb"/>
            <w:noWrap w:val="false"/>
          </w:tcPr>
          <w:p>
            <w:pPr>
              <w:pStyle w:val="1342"/>
              <w:numPr>
                <w:ilvl w:val="1"/>
                <w:numId w:val="7"/>
              </w:numPr>
              <w:ind w:left="170" w:firstLine="0"/>
              <w:jc w:val="center"/>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8506" w:type="dxa"/>
            <w:textDirection w:val="lrTb"/>
            <w:noWrap w:val="false"/>
          </w:tcPr>
          <w:p>
            <w:pPr>
              <w:pStyle w:val="1342"/>
              <w:numPr>
                <w:ilvl w:val="0"/>
                <w:numId w:val="9"/>
              </w:numPr>
              <w:ind w:left="284" w:hanging="284"/>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в части требований пункта </w:t>
            </w:r>
            <w:r>
              <w:rPr>
                <w:rFonts w:eastAsia="Calibri" w:cs="Arial"/>
                <w:sz w:val="26"/>
                <w:szCs w:val="22"/>
                <w:lang w:val="ru-RU" w:eastAsia="en-US" w:bidi="ar-SA"/>
              </w:rPr>
              <w:fldChar w:fldCharType="begin"/>
            </w:r>
            <w:r>
              <w:rPr>
                <w:rFonts w:eastAsia="Calibri" w:cs="Arial"/>
                <w:sz w:val="26"/>
                <w:szCs w:val="22"/>
                <w:lang w:val="ru-RU" w:eastAsia="en-US" w:bidi="ar-SA"/>
              </w:rPr>
              <w:instrText xml:space="preserve"> REF _Ref125370162 \w \h </w:instrText>
            </w:r>
            <w:r>
              <w:rPr>
                <w:rFonts w:eastAsia="Calibri" w:cs="Arial"/>
                <w:sz w:val="26"/>
                <w:szCs w:val="22"/>
                <w:lang w:val="ru-RU" w:eastAsia="en-US" w:bidi="ar-SA"/>
              </w:rPr>
              <w:fldChar w:fldCharType="separate"/>
            </w:r>
            <w:r>
              <w:rPr>
                <w:rFonts w:eastAsia="Calibri" w:cs="Arial"/>
                <w:sz w:val="26"/>
                <w:szCs w:val="22"/>
                <w:lang w:val="ru-RU" w:eastAsia="en-US" w:bidi="ar-SA"/>
              </w:rPr>
              <w:t xml:space="preserve">3</w:t>
            </w:r>
            <w:r>
              <w:rPr>
                <w:rFonts w:eastAsia="Calibri" w:cs="Arial"/>
                <w:sz w:val="26"/>
                <w:szCs w:val="22"/>
                <w:lang w:val="ru-RU" w:eastAsia="en-US" w:bidi="ar-SA"/>
              </w:rPr>
              <w:fldChar w:fldCharType="end"/>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p>
            <w:pPr>
              <w:pStyle w:val="1342"/>
              <w:ind w:left="219" w:firstLine="0"/>
              <w:spacing w:before="60" w:after="60" w:line="240" w:lineRule="auto"/>
              <w:widowControl w:val="off"/>
              <w:rPr>
                <w:rFonts w:ascii="Times New Roman" w:hAnsi="Times New Roman" w:eastAsia="Calibri" w:cs="Arial"/>
                <w:sz w:val="26"/>
                <w:szCs w:val="22"/>
                <w:lang w:val="ru-RU" w:eastAsia="en-US" w:bidi="ar-SA"/>
              </w:rPr>
            </w:pPr>
            <w:r>
              <w:rPr>
                <w:rFonts w:eastAsia="Calibri" w:cs="Arial"/>
                <w:i/>
                <w:iCs/>
                <w:sz w:val="26"/>
                <w:szCs w:val="22"/>
                <w:lang w:val="ru-RU" w:eastAsia="en-US" w:bidi="ar-SA"/>
              </w:rPr>
              <w:t xml:space="preserve">(в рамках осуществления экспертизы заявки Участника в отношении каждого члена Коллективного участника в том числе проверяется наличие у него статус</w:t>
            </w:r>
            <w:r>
              <w:rPr>
                <w:rFonts w:eastAsia="Calibri" w:cs="Arial"/>
                <w:i/>
                <w:iCs/>
                <w:sz w:val="26"/>
                <w:szCs w:val="22"/>
                <w:lang w:val="ru-RU" w:eastAsia="en-US" w:bidi="ar-SA"/>
              </w:rPr>
              <w:t xml:space="preserve">а «аккредитован» / «аккредитация не требуется», или проводится процедура его аккредитации (при необходимости). В рамках заключения Договора Победитель в целях подтверждения своего соответствия предоставляет документы в порядке, предусмотренном подразделом </w:t>
            </w:r>
            <w:r>
              <w:rPr>
                <w:rFonts w:eastAsia="Calibri" w:cs="Arial"/>
                <w:i/>
                <w:iCs/>
                <w:sz w:val="26"/>
                <w:szCs w:val="22"/>
                <w:lang w:val="ru-RU" w:eastAsia="en-US" w:bidi="ar-SA"/>
              </w:rPr>
              <w:fldChar w:fldCharType="begin"/>
            </w:r>
            <w:r>
              <w:rPr>
                <w:rFonts w:eastAsia="Calibri" w:cs="Arial"/>
                <w:i/>
                <w:iCs/>
                <w:sz w:val="26"/>
                <w:szCs w:val="22"/>
                <w:lang w:val="ru-RU" w:eastAsia="en-US" w:bidi="ar-SA"/>
              </w:rPr>
              <w:instrText xml:space="preserve"> REF _Ref138232981 \r \h </w:instrText>
            </w:r>
            <w:r>
              <w:rPr>
                <w:rFonts w:eastAsia="Calibri" w:cs="Arial"/>
                <w:i/>
                <w:iCs/>
                <w:sz w:val="26"/>
                <w:szCs w:val="22"/>
                <w:lang w:val="ru-RU" w:eastAsia="en-US" w:bidi="ar-SA"/>
              </w:rPr>
              <w:fldChar w:fldCharType="separate"/>
            </w:r>
            <w:r>
              <w:rPr>
                <w:rFonts w:eastAsia="Calibri" w:cs="Arial"/>
                <w:i/>
                <w:iCs/>
                <w:sz w:val="26"/>
                <w:szCs w:val="22"/>
                <w:lang w:val="ru-RU" w:eastAsia="en-US" w:bidi="ar-SA"/>
              </w:rPr>
              <w:t xml:space="preserve">5.2</w:t>
            </w:r>
            <w:r>
              <w:rPr>
                <w:rFonts w:eastAsia="Calibri" w:cs="Arial"/>
                <w:i/>
                <w:iCs/>
                <w:sz w:val="26"/>
                <w:szCs w:val="22"/>
                <w:lang w:val="ru-RU" w:eastAsia="en-US" w:bidi="ar-SA"/>
              </w:rPr>
              <w:fldChar w:fldCharType="end"/>
            </w:r>
            <w:r>
              <w:rPr>
                <w:rFonts w:eastAsia="Calibri" w:cs="Arial"/>
                <w:i/>
                <w:iCs/>
                <w:sz w:val="26"/>
                <w:szCs w:val="22"/>
                <w:lang w:val="ru-RU" w:eastAsia="en-US" w:bidi="ar-SA"/>
              </w:rPr>
              <w:t xml:space="preserve">)</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3117" w:type="dxa"/>
            <w:textDirection w:val="lrTb"/>
            <w:noWrap w:val="false"/>
          </w:tcPr>
          <w:p>
            <w:pPr>
              <w:pStyle w:val="1342"/>
              <w:jc w:val="center"/>
              <w:spacing w:before="60" w:after="60" w:line="240" w:lineRule="auto"/>
              <w:widowControl w:val="off"/>
            </w:pPr>
            <w:r>
              <w:rPr>
                <w:rFonts w:eastAsia="Calibri" w:cs="Arial"/>
                <w:sz w:val="26"/>
                <w:szCs w:val="22"/>
                <w:lang w:val="ru-RU" w:eastAsia="en-US" w:bidi="ar-SA"/>
              </w:rPr>
              <w:t xml:space="preserve">подраздел </w:t>
            </w:r>
            <w:r>
              <w:rPr>
                <w:rFonts w:eastAsia="Calibri" w:cs="Arial"/>
                <w:sz w:val="26"/>
                <w:szCs w:val="22"/>
                <w:lang w:val="ru-RU" w:eastAsia="en-US" w:bidi="ar-SA"/>
              </w:rPr>
              <w:fldChar w:fldCharType="begin"/>
            </w:r>
            <w:r>
              <w:rPr>
                <w:rFonts w:eastAsia="Calibri" w:cs="Arial"/>
                <w:sz w:val="26"/>
                <w:szCs w:val="22"/>
                <w:lang w:val="ru-RU" w:eastAsia="en-US" w:bidi="ar-SA"/>
              </w:rPr>
              <w:instrText xml:space="preserve"> REF _Ref125552455 \r \h </w:instrText>
            </w:r>
            <w:r>
              <w:rPr>
                <w:rFonts w:eastAsia="Calibri" w:cs="Arial"/>
                <w:sz w:val="26"/>
                <w:szCs w:val="22"/>
                <w:lang w:val="ru-RU" w:eastAsia="en-US" w:bidi="ar-SA"/>
              </w:rPr>
              <w:fldChar w:fldCharType="separate"/>
            </w:r>
            <w:r>
              <w:rPr>
                <w:rFonts w:eastAsia="Calibri" w:cs="Arial"/>
                <w:sz w:val="26"/>
                <w:szCs w:val="22"/>
                <w:lang w:val="ru-RU" w:eastAsia="en-US" w:bidi="ar-SA"/>
              </w:rPr>
              <w:t xml:space="preserve">8.5</w:t>
            </w:r>
            <w:r>
              <w:rPr>
                <w:rFonts w:eastAsia="Calibri" w:cs="Arial"/>
                <w:sz w:val="26"/>
                <w:szCs w:val="22"/>
                <w:lang w:val="ru-RU" w:eastAsia="en-US" w:bidi="ar-SA"/>
              </w:rPr>
              <w:fldChar w:fldCharType="end"/>
            </w:r>
            <w:r>
              <w:rPr>
                <w:rFonts w:eastAsia="Calibri" w:cs="Arial"/>
                <w:sz w:val="26"/>
                <w:szCs w:val="22"/>
                <w:lang w:val="ru-RU" w:eastAsia="en-US" w:bidi="ar-SA"/>
              </w:rPr>
              <w:br/>
              <w:t xml:space="preserve">(</w:t>
            </w:r>
            <w:hyperlink w:tooltip="#Прил03_ТребованияУчастникам" w:anchor="Прил03_ТребованияУчастникам" w:history="1">
              <w:r>
                <w:rPr>
                  <w:rStyle w:val="1311"/>
                  <w:rFonts w:eastAsia="Calibri" w:cs="Arial"/>
                  <w:sz w:val="26"/>
                  <w:szCs w:val="22"/>
                  <w:lang w:val="ru-RU" w:eastAsia="en-US" w:bidi="ar-SA"/>
                </w:rPr>
                <w:t xml:space="preserve">Приложение № 3</w:t>
              </w:r>
            </w:hyperlink>
            <w:r>
              <w:rPr>
                <w:rFonts w:eastAsia="Calibri" w:cs="Arial"/>
                <w:sz w:val="26"/>
                <w:szCs w:val="22"/>
                <w:lang w:val="ru-RU" w:eastAsia="en-US" w:bidi="ar-SA"/>
              </w:rPr>
              <w:t xml:space="preserve">)</w:t>
            </w:r>
            <w:r/>
          </w:p>
        </w:tc>
        <w:tc>
          <w:tcPr>
            <w:tcW w:w="2090" w:type="dxa"/>
            <w:textDirection w:val="lrTb"/>
            <w:noWrap w:val="false"/>
          </w:tcPr>
          <w:p>
            <w:pPr>
              <w:pStyle w:val="1342"/>
              <w:jc w:val="center"/>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Орг, Тех,</w:t>
              <w:br/>
              <w:t xml:space="preserve">Юр</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r>
      <w:tr>
        <w:tblPrEx/>
        <w:trPr/>
        <w:tc>
          <w:tcPr>
            <w:tcW w:w="1412" w:type="dxa"/>
            <w:textDirection w:val="lrTb"/>
            <w:noWrap w:val="false"/>
          </w:tcPr>
          <w:p>
            <w:pPr>
              <w:pStyle w:val="1342"/>
              <w:numPr>
                <w:ilvl w:val="0"/>
                <w:numId w:val="7"/>
              </w:numPr>
              <w:ind w:left="170" w:firstLine="0"/>
              <w:jc w:val="center"/>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8506" w:type="dxa"/>
            <w:textDirection w:val="lrTb"/>
            <w:noWrap w:val="false"/>
          </w:tcPr>
          <w:p>
            <w:pPr>
              <w:pStyle w:val="1342"/>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Соответствие Генерального подрядчика установленным в отношении его требованиям:</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p>
            <w:pPr>
              <w:pStyle w:val="1342"/>
              <w:spacing w:before="60" w:after="60" w:line="240" w:lineRule="auto"/>
              <w:widowControl w:val="off"/>
              <w:rPr>
                <w:i/>
                <w:iCs/>
              </w:rPr>
            </w:pPr>
            <w:r>
              <w:rPr>
                <w:rFonts w:eastAsia="Calibri" w:cs="Arial"/>
                <w:i/>
                <w:iCs/>
                <w:sz w:val="26"/>
                <w:szCs w:val="22"/>
                <w:lang w:val="ru-RU" w:eastAsia="en-US" w:bidi="ar-SA"/>
              </w:rPr>
              <w:t xml:space="preserve">(пункт применяется только в случае проведения закупки, в которой предусмотрена возможность рассмотрения, оценки и сопоставления заявок Участников с учетом привлекаемых субподрядчиков (подраздел </w:t>
            </w:r>
            <w:r>
              <w:rPr>
                <w:rFonts w:eastAsia="Calibri" w:cs="Arial"/>
                <w:i/>
                <w:iCs/>
                <w:sz w:val="26"/>
                <w:szCs w:val="22"/>
                <w:lang w:val="ru-RU" w:eastAsia="en-US" w:bidi="ar-SA"/>
              </w:rPr>
              <w:fldChar w:fldCharType="begin"/>
            </w:r>
            <w:r>
              <w:rPr>
                <w:rFonts w:eastAsia="Calibri" w:cs="Arial"/>
                <w:i/>
                <w:iCs/>
                <w:sz w:val="26"/>
                <w:szCs w:val="22"/>
                <w:lang w:val="ru-RU" w:eastAsia="en-US" w:bidi="ar-SA"/>
              </w:rPr>
              <w:instrText xml:space="preserve"> REF _Ref125359973 \r \h </w:instrText>
            </w:r>
            <w:r>
              <w:rPr>
                <w:rFonts w:eastAsia="Calibri" w:cs="Arial"/>
                <w:i/>
                <w:iCs/>
                <w:sz w:val="26"/>
                <w:szCs w:val="22"/>
                <w:lang w:val="ru-RU" w:eastAsia="en-US" w:bidi="ar-SA"/>
              </w:rPr>
              <w:fldChar w:fldCharType="separate"/>
            </w:r>
            <w:r>
              <w:rPr>
                <w:rFonts w:eastAsia="Calibri" w:cs="Arial"/>
                <w:i/>
                <w:iCs/>
                <w:sz w:val="26"/>
                <w:szCs w:val="22"/>
                <w:lang w:val="ru-RU" w:eastAsia="en-US" w:bidi="ar-SA"/>
              </w:rPr>
              <w:t xml:space="preserve">1.2</w:t>
            </w:r>
            <w:r>
              <w:rPr>
                <w:rFonts w:eastAsia="Calibri" w:cs="Arial"/>
                <w:i/>
                <w:iCs/>
                <w:sz w:val="26"/>
                <w:szCs w:val="22"/>
                <w:lang w:val="ru-RU" w:eastAsia="en-US" w:bidi="ar-SA"/>
              </w:rPr>
              <w:fldChar w:fldCharType="end"/>
            </w:r>
            <w:r>
              <w:rPr>
                <w:rFonts w:eastAsia="Calibri" w:cs="Arial"/>
                <w:i/>
                <w:iCs/>
                <w:sz w:val="26"/>
                <w:szCs w:val="22"/>
                <w:lang w:val="ru-RU" w:eastAsia="en-US" w:bidi="ar-SA"/>
              </w:rPr>
              <w:t xml:space="preserve">, подраздел </w:t>
            </w:r>
            <w:r>
              <w:rPr>
                <w:rFonts w:eastAsia="Calibri" w:cs="Arial"/>
                <w:i/>
                <w:iCs/>
                <w:sz w:val="26"/>
                <w:szCs w:val="22"/>
                <w:lang w:val="ru-RU" w:eastAsia="en-US" w:bidi="ar-SA"/>
              </w:rPr>
              <w:fldChar w:fldCharType="begin"/>
            </w:r>
            <w:r>
              <w:rPr>
                <w:rFonts w:eastAsia="Calibri" w:cs="Arial"/>
                <w:i/>
                <w:iCs/>
                <w:sz w:val="26"/>
                <w:szCs w:val="22"/>
                <w:lang w:val="ru-RU" w:eastAsia="en-US" w:bidi="ar-SA"/>
              </w:rPr>
              <w:instrText xml:space="preserve"> REF _Ref125361702 \r \h </w:instrText>
            </w:r>
            <w:r>
              <w:rPr>
                <w:rFonts w:eastAsia="Calibri" w:cs="Arial"/>
                <w:i/>
                <w:iCs/>
                <w:sz w:val="26"/>
                <w:szCs w:val="22"/>
                <w:lang w:val="ru-RU" w:eastAsia="en-US" w:bidi="ar-SA"/>
              </w:rPr>
              <w:fldChar w:fldCharType="separate"/>
            </w:r>
            <w:r>
              <w:rPr>
                <w:rFonts w:eastAsia="Calibri" w:cs="Arial"/>
                <w:i/>
                <w:iCs/>
                <w:sz w:val="26"/>
                <w:szCs w:val="22"/>
                <w:lang w:val="ru-RU" w:eastAsia="en-US" w:bidi="ar-SA"/>
              </w:rPr>
              <w:t xml:space="preserve">3.3</w:t>
            </w:r>
            <w:r>
              <w:rPr>
                <w:rFonts w:eastAsia="Calibri" w:cs="Arial"/>
                <w:i/>
                <w:iCs/>
                <w:sz w:val="26"/>
                <w:szCs w:val="22"/>
                <w:lang w:val="ru-RU" w:eastAsia="en-US" w:bidi="ar-SA"/>
              </w:rPr>
              <w:fldChar w:fldCharType="end"/>
            </w:r>
            <w:r>
              <w:rPr>
                <w:rFonts w:eastAsia="Calibri" w:cs="Arial"/>
                <w:i/>
                <w:iCs/>
                <w:sz w:val="26"/>
                <w:szCs w:val="22"/>
                <w:lang w:val="ru-RU" w:eastAsia="en-US" w:bidi="ar-SA"/>
              </w:rPr>
              <w:t xml:space="preserve">))</w:t>
            </w:r>
            <w:r>
              <w:rPr>
                <w:i/>
                <w:iCs/>
              </w:rPr>
            </w:r>
            <w:r>
              <w:rPr>
                <w:i/>
                <w:iCs/>
              </w:rPr>
            </w:r>
          </w:p>
        </w:tc>
        <w:tc>
          <w:tcPr>
            <w:tcW w:w="3117" w:type="dxa"/>
            <w:textDirection w:val="lrTb"/>
            <w:noWrap w:val="false"/>
          </w:tcPr>
          <w:p>
            <w:pPr>
              <w:pStyle w:val="1342"/>
              <w:jc w:val="center"/>
              <w:spacing w:before="60" w:after="60" w:line="240" w:lineRule="auto"/>
              <w:widowControl w:val="off"/>
              <w:rPr>
                <w:rFonts w:ascii="Times New Roman" w:hAnsi="Times New Roman" w:eastAsia="Calibri" w:cs="Arial"/>
                <w:sz w:val="26"/>
                <w:szCs w:val="22"/>
                <w:lang w:val="ru-RU" w:eastAsia="en-US" w:bidi="ar-SA"/>
              </w:rPr>
            </w:pPr>
            <w:r>
              <w:rPr>
                <w:rFonts w:eastAsia="Calibri" w:cs="Arial"/>
                <w:b/>
                <w:bCs/>
                <w:sz w:val="26"/>
                <w:szCs w:val="22"/>
                <w:lang w:val="ru-RU" w:eastAsia="en-US" w:bidi="ar-SA"/>
              </w:rPr>
              <w:t xml:space="preserve">–</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2090" w:type="dxa"/>
            <w:textDirection w:val="lrTb"/>
            <w:noWrap w:val="false"/>
          </w:tcPr>
          <w:p>
            <w:pPr>
              <w:pStyle w:val="1342"/>
              <w:jc w:val="center"/>
              <w:spacing w:before="60" w:after="60" w:line="240" w:lineRule="auto"/>
              <w:widowControl w:val="off"/>
              <w:rPr>
                <w:rFonts w:ascii="Times New Roman" w:hAnsi="Times New Roman" w:eastAsia="Calibri" w:cs="Arial"/>
                <w:sz w:val="26"/>
                <w:szCs w:val="22"/>
                <w:lang w:val="ru-RU" w:eastAsia="en-US" w:bidi="ar-SA"/>
              </w:rPr>
            </w:pPr>
            <w:r>
              <w:rPr>
                <w:rFonts w:eastAsia="Calibri" w:cs="Arial"/>
                <w:b/>
                <w:bCs/>
                <w:sz w:val="26"/>
                <w:szCs w:val="22"/>
                <w:lang w:val="ru-RU" w:eastAsia="en-US" w:bidi="ar-SA"/>
              </w:rPr>
              <w:t xml:space="preserve">–</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r>
      <w:tr>
        <w:tblPrEx/>
        <w:trPr/>
        <w:tc>
          <w:tcPr>
            <w:tcW w:w="1412" w:type="dxa"/>
            <w:textDirection w:val="lrTb"/>
            <w:noWrap w:val="false"/>
          </w:tcPr>
          <w:p>
            <w:pPr>
              <w:pStyle w:val="1342"/>
              <w:numPr>
                <w:ilvl w:val="1"/>
                <w:numId w:val="7"/>
              </w:numPr>
              <w:ind w:left="170" w:firstLine="0"/>
              <w:jc w:val="center"/>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8506" w:type="dxa"/>
            <w:textDirection w:val="lrTb"/>
            <w:noWrap w:val="false"/>
          </w:tcPr>
          <w:p>
            <w:pPr>
              <w:pStyle w:val="1342"/>
              <w:numPr>
                <w:ilvl w:val="0"/>
                <w:numId w:val="9"/>
              </w:numPr>
              <w:ind w:left="284" w:hanging="284"/>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в части требований пунктов </w:t>
            </w:r>
            <w:r>
              <w:rPr>
                <w:rFonts w:eastAsia="Calibri" w:cs="Arial"/>
                <w:sz w:val="26"/>
                <w:szCs w:val="22"/>
                <w:lang w:val="ru-RU" w:eastAsia="en-US" w:bidi="ar-SA"/>
              </w:rPr>
              <w:fldChar w:fldCharType="begin"/>
            </w:r>
            <w:r>
              <w:rPr>
                <w:rFonts w:eastAsia="Calibri" w:cs="Arial"/>
                <w:sz w:val="26"/>
                <w:szCs w:val="22"/>
                <w:lang w:val="ru-RU" w:eastAsia="en-US" w:bidi="ar-SA"/>
              </w:rPr>
              <w:instrText xml:space="preserve"> REF _Ref125370187 \w \h </w:instrText>
            </w:r>
            <w:r>
              <w:rPr>
                <w:rFonts w:eastAsia="Calibri" w:cs="Arial"/>
                <w:sz w:val="26"/>
                <w:szCs w:val="22"/>
                <w:lang w:val="ru-RU" w:eastAsia="en-US" w:bidi="ar-SA"/>
              </w:rPr>
              <w:fldChar w:fldCharType="separate"/>
            </w:r>
            <w:r>
              <w:rPr>
                <w:rFonts w:eastAsia="Calibri" w:cs="Arial"/>
                <w:sz w:val="26"/>
                <w:szCs w:val="22"/>
                <w:lang w:val="ru-RU" w:eastAsia="en-US" w:bidi="ar-SA"/>
              </w:rPr>
              <w:t xml:space="preserve">1</w:t>
            </w:r>
            <w:r>
              <w:rPr>
                <w:rFonts w:eastAsia="Calibri" w:cs="Arial"/>
                <w:sz w:val="26"/>
                <w:szCs w:val="22"/>
                <w:lang w:val="ru-RU" w:eastAsia="en-US" w:bidi="ar-SA"/>
              </w:rPr>
              <w:fldChar w:fldCharType="end"/>
            </w:r>
            <w:r>
              <w:rPr>
                <w:rFonts w:eastAsia="Calibri" w:cs="Arial"/>
                <w:sz w:val="26"/>
                <w:szCs w:val="22"/>
                <w:lang w:val="ru-RU" w:eastAsia="en-US" w:bidi="ar-SA"/>
              </w:rPr>
              <w:t xml:space="preserve">, </w:t>
            </w:r>
            <w:r>
              <w:rPr>
                <w:rFonts w:eastAsia="Calibri" w:cs="Arial"/>
                <w:sz w:val="26"/>
                <w:szCs w:val="22"/>
                <w:lang w:val="ru-RU" w:eastAsia="en-US" w:bidi="ar-SA"/>
              </w:rPr>
              <w:fldChar w:fldCharType="begin"/>
            </w:r>
            <w:r>
              <w:rPr>
                <w:rFonts w:eastAsia="Calibri" w:cs="Arial"/>
                <w:sz w:val="26"/>
                <w:szCs w:val="22"/>
                <w:lang w:val="ru-RU" w:eastAsia="en-US" w:bidi="ar-SA"/>
              </w:rPr>
              <w:instrText xml:space="preserve"> REF _Ref125370199 \w \h </w:instrText>
            </w:r>
            <w:r>
              <w:rPr>
                <w:rFonts w:eastAsia="Calibri" w:cs="Arial"/>
                <w:sz w:val="26"/>
                <w:szCs w:val="22"/>
                <w:lang w:val="ru-RU" w:eastAsia="en-US" w:bidi="ar-SA"/>
              </w:rPr>
              <w:fldChar w:fldCharType="separate"/>
            </w:r>
            <w:r>
              <w:rPr>
                <w:rFonts w:eastAsia="Calibri" w:cs="Arial"/>
                <w:sz w:val="26"/>
                <w:szCs w:val="22"/>
                <w:lang w:val="ru-RU" w:eastAsia="en-US" w:bidi="ar-SA"/>
              </w:rPr>
              <w:t xml:space="preserve">2</w:t>
            </w:r>
            <w:r>
              <w:rPr>
                <w:rFonts w:eastAsia="Calibri" w:cs="Arial"/>
                <w:sz w:val="26"/>
                <w:szCs w:val="22"/>
                <w:lang w:val="ru-RU" w:eastAsia="en-US" w:bidi="ar-SA"/>
              </w:rPr>
              <w:fldChar w:fldCharType="end"/>
            </w:r>
            <w:r>
              <w:rPr>
                <w:rFonts w:eastAsia="Calibri" w:cs="Arial"/>
                <w:sz w:val="26"/>
                <w:szCs w:val="22"/>
                <w:lang w:val="ru-RU" w:eastAsia="en-US" w:bidi="ar-SA"/>
              </w:rPr>
              <w:t xml:space="preserve">, </w:t>
            </w:r>
            <w:r>
              <w:rPr>
                <w:rFonts w:eastAsia="Calibri" w:cs="Arial"/>
                <w:sz w:val="26"/>
                <w:szCs w:val="22"/>
                <w:lang w:val="ru-RU" w:eastAsia="en-US" w:bidi="ar-SA"/>
              </w:rPr>
              <w:fldChar w:fldCharType="begin"/>
            </w:r>
            <w:r>
              <w:rPr>
                <w:rFonts w:eastAsia="Calibri" w:cs="Arial"/>
                <w:sz w:val="26"/>
                <w:szCs w:val="22"/>
                <w:lang w:val="ru-RU" w:eastAsia="en-US" w:bidi="ar-SA"/>
              </w:rPr>
              <w:instrText xml:space="preserve"> REF _Ref125553847 \w \h </w:instrText>
            </w:r>
            <w:r>
              <w:rPr>
                <w:rFonts w:eastAsia="Calibri" w:cs="Arial"/>
                <w:sz w:val="26"/>
                <w:szCs w:val="22"/>
                <w:lang w:val="ru-RU" w:eastAsia="en-US" w:bidi="ar-SA"/>
              </w:rPr>
              <w:fldChar w:fldCharType="separate"/>
            </w:r>
            <w:r>
              <w:rPr>
                <w:rFonts w:eastAsia="Calibri" w:cs="Arial"/>
                <w:sz w:val="26"/>
                <w:szCs w:val="22"/>
                <w:lang w:val="ru-RU" w:eastAsia="en-US" w:bidi="ar-SA"/>
              </w:rPr>
              <w:t xml:space="preserve">4</w:t>
            </w:r>
            <w:r>
              <w:rPr>
                <w:rFonts w:eastAsia="Calibri" w:cs="Arial"/>
                <w:sz w:val="26"/>
                <w:szCs w:val="22"/>
                <w:lang w:val="ru-RU" w:eastAsia="en-US" w:bidi="ar-SA"/>
              </w:rPr>
              <w:fldChar w:fldCharType="end"/>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3117" w:type="dxa"/>
            <w:textDirection w:val="lrTb"/>
            <w:noWrap w:val="false"/>
          </w:tcPr>
          <w:p>
            <w:pPr>
              <w:pStyle w:val="1342"/>
              <w:jc w:val="center"/>
              <w:spacing w:before="60" w:after="60" w:line="240" w:lineRule="auto"/>
              <w:widowControl w:val="off"/>
            </w:pPr>
            <w:r>
              <w:rPr>
                <w:rFonts w:eastAsia="Calibri" w:cs="Arial"/>
                <w:sz w:val="26"/>
                <w:szCs w:val="22"/>
                <w:lang w:val="ru-RU" w:eastAsia="en-US" w:bidi="ar-SA"/>
              </w:rPr>
              <w:t xml:space="preserve">подраздел </w:t>
            </w:r>
            <w:r>
              <w:rPr>
                <w:rFonts w:eastAsia="Calibri" w:cs="Arial"/>
                <w:sz w:val="26"/>
                <w:szCs w:val="22"/>
                <w:lang w:val="ru-RU" w:eastAsia="en-US" w:bidi="ar-SA"/>
              </w:rPr>
              <w:fldChar w:fldCharType="begin"/>
            </w:r>
            <w:r>
              <w:rPr>
                <w:rFonts w:eastAsia="Calibri" w:cs="Arial"/>
                <w:sz w:val="26"/>
                <w:szCs w:val="22"/>
                <w:lang w:val="ru-RU" w:eastAsia="en-US" w:bidi="ar-SA"/>
              </w:rPr>
              <w:instrText xml:space="preserve"> REF _Ref125709777 \r \h </w:instrText>
            </w:r>
            <w:r>
              <w:rPr>
                <w:rFonts w:eastAsia="Calibri" w:cs="Arial"/>
                <w:sz w:val="26"/>
                <w:szCs w:val="22"/>
                <w:lang w:val="ru-RU" w:eastAsia="en-US" w:bidi="ar-SA"/>
              </w:rPr>
              <w:fldChar w:fldCharType="separate"/>
            </w:r>
            <w:r>
              <w:rPr>
                <w:rFonts w:eastAsia="Calibri" w:cs="Arial"/>
                <w:sz w:val="26"/>
                <w:szCs w:val="22"/>
                <w:lang w:val="ru-RU" w:eastAsia="en-US" w:bidi="ar-SA"/>
              </w:rPr>
              <w:t xml:space="preserve">8.6</w:t>
            </w:r>
            <w:r>
              <w:rPr>
                <w:rFonts w:eastAsia="Calibri" w:cs="Arial"/>
                <w:sz w:val="26"/>
                <w:szCs w:val="22"/>
                <w:lang w:val="ru-RU" w:eastAsia="en-US" w:bidi="ar-SA"/>
              </w:rPr>
              <w:fldChar w:fldCharType="end"/>
            </w:r>
            <w:r>
              <w:rPr>
                <w:rFonts w:eastAsia="Calibri" w:cs="Arial"/>
                <w:sz w:val="26"/>
                <w:szCs w:val="22"/>
                <w:lang w:val="ru-RU" w:eastAsia="en-US" w:bidi="ar-SA"/>
              </w:rPr>
              <w:br/>
              <w:t xml:space="preserve">(</w:t>
            </w:r>
            <w:hyperlink w:tooltip="#Прил03_ТребованияУчастникам" w:anchor="Прил03_ТребованияУчастникам" w:history="1">
              <w:r>
                <w:rPr>
                  <w:rStyle w:val="1311"/>
                  <w:rFonts w:eastAsia="Calibri" w:cs="Arial"/>
                  <w:sz w:val="26"/>
                  <w:szCs w:val="22"/>
                  <w:lang w:val="ru-RU" w:eastAsia="en-US" w:bidi="ar-SA"/>
                </w:rPr>
                <w:t xml:space="preserve">Приложение № 3</w:t>
              </w:r>
            </w:hyperlink>
            <w:r>
              <w:rPr>
                <w:rFonts w:eastAsia="Calibri" w:cs="Arial"/>
                <w:sz w:val="26"/>
                <w:szCs w:val="22"/>
                <w:lang w:val="ru-RU" w:eastAsia="en-US" w:bidi="ar-SA"/>
              </w:rPr>
              <w:t xml:space="preserve">)</w:t>
            </w:r>
            <w:r/>
          </w:p>
        </w:tc>
        <w:tc>
          <w:tcPr>
            <w:tcW w:w="2090" w:type="dxa"/>
            <w:textDirection w:val="lrTb"/>
            <w:noWrap w:val="false"/>
          </w:tcPr>
          <w:p>
            <w:pPr>
              <w:pStyle w:val="1342"/>
              <w:jc w:val="center"/>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Тех</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r>
      <w:tr>
        <w:tblPrEx/>
        <w:trPr/>
        <w:tc>
          <w:tcPr>
            <w:tcW w:w="1412" w:type="dxa"/>
            <w:textDirection w:val="lrTb"/>
            <w:noWrap w:val="false"/>
          </w:tcPr>
          <w:p>
            <w:pPr>
              <w:pStyle w:val="1342"/>
              <w:numPr>
                <w:ilvl w:val="1"/>
                <w:numId w:val="7"/>
              </w:numPr>
              <w:ind w:left="170" w:firstLine="0"/>
              <w:jc w:val="center"/>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8506" w:type="dxa"/>
            <w:textDirection w:val="lrTb"/>
            <w:noWrap w:val="false"/>
          </w:tcPr>
          <w:p>
            <w:pPr>
              <w:pStyle w:val="1342"/>
              <w:numPr>
                <w:ilvl w:val="0"/>
                <w:numId w:val="9"/>
              </w:numPr>
              <w:ind w:left="284" w:hanging="284"/>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в части требований пункта </w:t>
            </w:r>
            <w:r>
              <w:rPr>
                <w:rFonts w:eastAsia="Calibri" w:cs="Arial"/>
                <w:sz w:val="26"/>
                <w:szCs w:val="22"/>
                <w:lang w:val="ru-RU" w:eastAsia="en-US" w:bidi="ar-SA"/>
              </w:rPr>
              <w:fldChar w:fldCharType="begin"/>
            </w:r>
            <w:r>
              <w:rPr>
                <w:rFonts w:eastAsia="Calibri" w:cs="Arial"/>
                <w:sz w:val="26"/>
                <w:szCs w:val="22"/>
                <w:lang w:val="ru-RU" w:eastAsia="en-US" w:bidi="ar-SA"/>
              </w:rPr>
              <w:instrText xml:space="preserve"> REF _Ref125370193 \w \h </w:instrText>
            </w:r>
            <w:r>
              <w:rPr>
                <w:rFonts w:eastAsia="Calibri" w:cs="Arial"/>
                <w:sz w:val="26"/>
                <w:szCs w:val="22"/>
                <w:lang w:val="ru-RU" w:eastAsia="en-US" w:bidi="ar-SA"/>
              </w:rPr>
              <w:fldChar w:fldCharType="separate"/>
            </w:r>
            <w:r>
              <w:rPr>
                <w:rFonts w:eastAsia="Calibri" w:cs="Arial"/>
                <w:sz w:val="26"/>
                <w:szCs w:val="22"/>
                <w:lang w:val="ru-RU" w:eastAsia="en-US" w:bidi="ar-SA"/>
              </w:rPr>
              <w:t xml:space="preserve">3</w:t>
            </w:r>
            <w:r>
              <w:rPr>
                <w:rFonts w:eastAsia="Calibri" w:cs="Arial"/>
                <w:sz w:val="26"/>
                <w:szCs w:val="22"/>
                <w:lang w:val="ru-RU" w:eastAsia="en-US" w:bidi="ar-SA"/>
              </w:rPr>
              <w:fldChar w:fldCharType="end"/>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3117" w:type="dxa"/>
            <w:textDirection w:val="lrTb"/>
            <w:noWrap w:val="false"/>
          </w:tcPr>
          <w:p>
            <w:pPr>
              <w:pStyle w:val="1342"/>
              <w:jc w:val="center"/>
              <w:spacing w:before="60" w:after="60" w:line="240" w:lineRule="auto"/>
              <w:widowControl w:val="off"/>
            </w:pPr>
            <w:r>
              <w:rPr>
                <w:rFonts w:eastAsia="Calibri" w:cs="Arial"/>
                <w:sz w:val="26"/>
                <w:szCs w:val="22"/>
                <w:lang w:val="ru-RU" w:eastAsia="en-US" w:bidi="ar-SA"/>
              </w:rPr>
              <w:t xml:space="preserve">подраздел </w:t>
            </w:r>
            <w:r>
              <w:rPr>
                <w:rFonts w:eastAsia="Calibri" w:cs="Arial"/>
                <w:sz w:val="26"/>
                <w:szCs w:val="22"/>
                <w:lang w:val="ru-RU" w:eastAsia="en-US" w:bidi="ar-SA"/>
              </w:rPr>
              <w:fldChar w:fldCharType="begin"/>
            </w:r>
            <w:r>
              <w:rPr>
                <w:rFonts w:eastAsia="Calibri" w:cs="Arial"/>
                <w:sz w:val="26"/>
                <w:szCs w:val="22"/>
                <w:lang w:val="ru-RU" w:eastAsia="en-US" w:bidi="ar-SA"/>
              </w:rPr>
              <w:instrText xml:space="preserve"> REF _Ref125709777 \r \h </w:instrText>
            </w:r>
            <w:r>
              <w:rPr>
                <w:rFonts w:eastAsia="Calibri" w:cs="Arial"/>
                <w:sz w:val="26"/>
                <w:szCs w:val="22"/>
                <w:lang w:val="ru-RU" w:eastAsia="en-US" w:bidi="ar-SA"/>
              </w:rPr>
              <w:fldChar w:fldCharType="separate"/>
            </w:r>
            <w:r>
              <w:rPr>
                <w:rFonts w:eastAsia="Calibri" w:cs="Arial"/>
                <w:sz w:val="26"/>
                <w:szCs w:val="22"/>
                <w:lang w:val="ru-RU" w:eastAsia="en-US" w:bidi="ar-SA"/>
              </w:rPr>
              <w:t xml:space="preserve">8.6</w:t>
            </w:r>
            <w:r>
              <w:rPr>
                <w:rFonts w:eastAsia="Calibri" w:cs="Arial"/>
                <w:sz w:val="26"/>
                <w:szCs w:val="22"/>
                <w:lang w:val="ru-RU" w:eastAsia="en-US" w:bidi="ar-SA"/>
              </w:rPr>
              <w:fldChar w:fldCharType="end"/>
            </w:r>
            <w:r>
              <w:rPr>
                <w:rFonts w:eastAsia="Calibri" w:cs="Arial"/>
                <w:sz w:val="26"/>
                <w:szCs w:val="22"/>
                <w:lang w:val="ru-RU" w:eastAsia="en-US" w:bidi="ar-SA"/>
              </w:rPr>
              <w:br/>
              <w:t xml:space="preserve">(</w:t>
            </w:r>
            <w:hyperlink w:tooltip="#Прил03_ТребованияУчастникам" w:anchor="Прил03_ТребованияУчастникам" w:history="1">
              <w:r>
                <w:rPr>
                  <w:rStyle w:val="1311"/>
                  <w:rFonts w:eastAsia="Calibri" w:cs="Arial"/>
                  <w:sz w:val="26"/>
                  <w:szCs w:val="22"/>
                  <w:lang w:val="ru-RU" w:eastAsia="en-US" w:bidi="ar-SA"/>
                </w:rPr>
                <w:t xml:space="preserve">Приложение № 3</w:t>
              </w:r>
            </w:hyperlink>
            <w:r>
              <w:rPr>
                <w:rFonts w:eastAsia="Calibri" w:cs="Arial"/>
                <w:sz w:val="26"/>
                <w:szCs w:val="22"/>
                <w:lang w:val="ru-RU" w:eastAsia="en-US" w:bidi="ar-SA"/>
              </w:rPr>
              <w:t xml:space="preserve">)</w:t>
            </w:r>
            <w:r/>
          </w:p>
        </w:tc>
        <w:tc>
          <w:tcPr>
            <w:tcW w:w="2090" w:type="dxa"/>
            <w:textDirection w:val="lrTb"/>
            <w:noWrap w:val="false"/>
          </w:tcPr>
          <w:p>
            <w:pPr>
              <w:pStyle w:val="1342"/>
              <w:jc w:val="center"/>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Орг, Тех</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r>
      <w:tr>
        <w:tblPrEx/>
        <w:trPr/>
        <w:tc>
          <w:tcPr>
            <w:tcW w:w="1412" w:type="dxa"/>
            <w:textDirection w:val="lrTb"/>
            <w:noWrap w:val="false"/>
          </w:tcPr>
          <w:p>
            <w:pPr>
              <w:pStyle w:val="1342"/>
              <w:numPr>
                <w:ilvl w:val="0"/>
                <w:numId w:val="7"/>
              </w:numPr>
              <w:ind w:left="170" w:firstLine="0"/>
              <w:jc w:val="center"/>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8506" w:type="dxa"/>
            <w:textDirection w:val="lrTb"/>
            <w:noWrap w:val="false"/>
          </w:tcPr>
          <w:p>
            <w:pPr>
              <w:pStyle w:val="1342"/>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Соответствие Генерального подрядчика с обязательным привлечением субподрядчиков (соисполнителей) из числа субъектов МСП установленным в отношении его требованиям</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p>
            <w:pPr>
              <w:pStyle w:val="1342"/>
              <w:spacing w:before="60" w:after="60" w:line="240" w:lineRule="auto"/>
              <w:widowControl w:val="off"/>
              <w:rPr>
                <w:i/>
                <w:iCs/>
              </w:rPr>
            </w:pPr>
            <w:r>
              <w:rPr>
                <w:rFonts w:eastAsia="Calibri" w:cs="Arial"/>
                <w:i/>
                <w:iCs/>
                <w:sz w:val="26"/>
                <w:szCs w:val="22"/>
                <w:lang w:val="ru-RU" w:eastAsia="en-US" w:bidi="ar-SA"/>
              </w:rPr>
              <w:t xml:space="preserve">(пункт применяется только в случае проведения закупки, участвовать в которой могут только лица, обязанные привлечь к исполнению Договора субподрядчиков (соисполнителей) из числа субъектов МСП (подраздел </w:t>
            </w:r>
            <w:r>
              <w:rPr>
                <w:rFonts w:eastAsia="Calibri" w:cs="Arial"/>
                <w:i/>
                <w:iCs/>
                <w:sz w:val="26"/>
                <w:szCs w:val="22"/>
                <w:lang w:val="ru-RU" w:eastAsia="en-US" w:bidi="ar-SA"/>
              </w:rPr>
              <w:fldChar w:fldCharType="begin"/>
            </w:r>
            <w:r>
              <w:rPr>
                <w:rFonts w:eastAsia="Calibri" w:cs="Arial"/>
                <w:i/>
                <w:iCs/>
                <w:sz w:val="26"/>
                <w:szCs w:val="22"/>
                <w:lang w:val="ru-RU" w:eastAsia="en-US" w:bidi="ar-SA"/>
              </w:rPr>
              <w:instrText xml:space="preserve"> REF _Ref125359973 \r \h </w:instrText>
            </w:r>
            <w:r>
              <w:rPr>
                <w:rFonts w:eastAsia="Calibri" w:cs="Arial"/>
                <w:i/>
                <w:iCs/>
                <w:sz w:val="26"/>
                <w:szCs w:val="22"/>
                <w:lang w:val="ru-RU" w:eastAsia="en-US" w:bidi="ar-SA"/>
              </w:rPr>
              <w:fldChar w:fldCharType="separate"/>
            </w:r>
            <w:r>
              <w:rPr>
                <w:rFonts w:eastAsia="Calibri" w:cs="Arial"/>
                <w:i/>
                <w:iCs/>
                <w:sz w:val="26"/>
                <w:szCs w:val="22"/>
                <w:lang w:val="ru-RU" w:eastAsia="en-US" w:bidi="ar-SA"/>
              </w:rPr>
              <w:t xml:space="preserve">1.2</w:t>
            </w:r>
            <w:r>
              <w:rPr>
                <w:rFonts w:eastAsia="Calibri" w:cs="Arial"/>
                <w:i/>
                <w:iCs/>
                <w:sz w:val="26"/>
                <w:szCs w:val="22"/>
                <w:lang w:val="ru-RU" w:eastAsia="en-US" w:bidi="ar-SA"/>
              </w:rPr>
              <w:fldChar w:fldCharType="end"/>
            </w:r>
            <w:r>
              <w:rPr>
                <w:rFonts w:eastAsia="Calibri" w:cs="Arial"/>
                <w:i/>
                <w:iCs/>
                <w:sz w:val="26"/>
                <w:szCs w:val="22"/>
                <w:lang w:val="ru-RU" w:eastAsia="en-US" w:bidi="ar-SA"/>
              </w:rPr>
              <w:t xml:space="preserve">, подраздел </w:t>
            </w:r>
            <w:r>
              <w:rPr>
                <w:rFonts w:eastAsia="Calibri" w:cs="Arial"/>
                <w:i/>
                <w:iCs/>
                <w:sz w:val="26"/>
                <w:szCs w:val="22"/>
                <w:lang w:val="ru-RU" w:eastAsia="en-US" w:bidi="ar-SA"/>
              </w:rPr>
              <w:fldChar w:fldCharType="begin"/>
            </w:r>
            <w:r>
              <w:rPr>
                <w:rFonts w:eastAsia="Calibri" w:cs="Arial"/>
                <w:i/>
                <w:iCs/>
                <w:sz w:val="26"/>
                <w:szCs w:val="22"/>
                <w:lang w:val="ru-RU" w:eastAsia="en-US" w:bidi="ar-SA"/>
              </w:rPr>
              <w:instrText xml:space="preserve"> REF _Ref127524203 \r \h </w:instrText>
            </w:r>
            <w:r>
              <w:rPr>
                <w:rFonts w:eastAsia="Calibri" w:cs="Arial"/>
                <w:i/>
                <w:iCs/>
                <w:sz w:val="26"/>
                <w:szCs w:val="22"/>
                <w:lang w:val="ru-RU" w:eastAsia="en-US" w:bidi="ar-SA"/>
              </w:rPr>
              <w:fldChar w:fldCharType="separate"/>
            </w:r>
            <w:r>
              <w:rPr>
                <w:rFonts w:eastAsia="Calibri" w:cs="Arial"/>
                <w:i/>
                <w:iCs/>
                <w:sz w:val="26"/>
                <w:szCs w:val="22"/>
                <w:lang w:val="ru-RU" w:eastAsia="en-US" w:bidi="ar-SA"/>
              </w:rPr>
              <w:t xml:space="preserve">3.4</w:t>
            </w:r>
            <w:r>
              <w:rPr>
                <w:rFonts w:eastAsia="Calibri" w:cs="Arial"/>
                <w:i/>
                <w:iCs/>
                <w:sz w:val="26"/>
                <w:szCs w:val="22"/>
                <w:lang w:val="ru-RU" w:eastAsia="en-US" w:bidi="ar-SA"/>
              </w:rPr>
              <w:fldChar w:fldCharType="end"/>
            </w:r>
            <w:r>
              <w:rPr>
                <w:rFonts w:eastAsia="Calibri" w:cs="Arial"/>
                <w:i/>
                <w:iCs/>
                <w:sz w:val="26"/>
                <w:szCs w:val="22"/>
                <w:lang w:val="ru-RU" w:eastAsia="en-US" w:bidi="ar-SA"/>
              </w:rPr>
              <w:t xml:space="preserve">))</w:t>
            </w:r>
            <w:r>
              <w:rPr>
                <w:i/>
                <w:iCs/>
              </w:rPr>
            </w:r>
            <w:r>
              <w:rPr>
                <w:i/>
                <w:iCs/>
              </w:rPr>
            </w:r>
          </w:p>
        </w:tc>
        <w:tc>
          <w:tcPr>
            <w:tcW w:w="3117" w:type="dxa"/>
            <w:textDirection w:val="lrTb"/>
            <w:noWrap w:val="false"/>
          </w:tcPr>
          <w:p>
            <w:pPr>
              <w:pStyle w:val="1342"/>
              <w:jc w:val="center"/>
              <w:spacing w:before="60" w:after="60" w:line="240" w:lineRule="auto"/>
              <w:widowControl w:val="off"/>
            </w:pPr>
            <w:r>
              <w:rPr>
                <w:rFonts w:eastAsia="Calibri" w:cs="Arial"/>
                <w:sz w:val="26"/>
                <w:szCs w:val="22"/>
                <w:lang w:val="ru-RU" w:eastAsia="en-US" w:bidi="ar-SA"/>
              </w:rPr>
              <w:t xml:space="preserve">подраздел </w:t>
            </w:r>
            <w:r>
              <w:rPr>
                <w:rFonts w:eastAsia="Calibri" w:cs="Arial"/>
                <w:sz w:val="26"/>
                <w:szCs w:val="22"/>
                <w:lang w:val="ru-RU" w:eastAsia="en-US" w:bidi="ar-SA"/>
              </w:rPr>
              <w:fldChar w:fldCharType="begin"/>
            </w:r>
            <w:r>
              <w:rPr>
                <w:rFonts w:eastAsia="Calibri" w:cs="Arial"/>
                <w:sz w:val="26"/>
                <w:szCs w:val="22"/>
                <w:lang w:val="ru-RU" w:eastAsia="en-US" w:bidi="ar-SA"/>
              </w:rPr>
              <w:instrText xml:space="preserve"> REF _Ref125550523 \r \h </w:instrText>
            </w:r>
            <w:r>
              <w:rPr>
                <w:rFonts w:eastAsia="Calibri" w:cs="Arial"/>
                <w:sz w:val="26"/>
                <w:szCs w:val="22"/>
                <w:lang w:val="ru-RU" w:eastAsia="en-US" w:bidi="ar-SA"/>
              </w:rPr>
              <w:fldChar w:fldCharType="separate"/>
            </w:r>
            <w:r>
              <w:rPr>
                <w:rFonts w:eastAsia="Calibri" w:cs="Arial"/>
                <w:sz w:val="26"/>
                <w:szCs w:val="22"/>
                <w:lang w:val="ru-RU" w:eastAsia="en-US" w:bidi="ar-SA"/>
              </w:rPr>
              <w:t xml:space="preserve">8.7</w:t>
            </w:r>
            <w:r>
              <w:rPr>
                <w:rFonts w:eastAsia="Calibri" w:cs="Arial"/>
                <w:sz w:val="26"/>
                <w:szCs w:val="22"/>
                <w:lang w:val="ru-RU" w:eastAsia="en-US" w:bidi="ar-SA"/>
              </w:rPr>
              <w:fldChar w:fldCharType="end"/>
            </w:r>
            <w:r>
              <w:rPr>
                <w:rFonts w:eastAsia="Calibri" w:cs="Arial"/>
                <w:sz w:val="26"/>
                <w:szCs w:val="22"/>
                <w:lang w:val="ru-RU" w:eastAsia="en-US" w:bidi="ar-SA"/>
              </w:rPr>
              <w:br/>
              <w:t xml:space="preserve">(</w:t>
            </w:r>
            <w:hyperlink w:tooltip="#Прил03_ТребованияУчастникам" w:anchor="Прил03_ТребованияУчастникам" w:history="1">
              <w:r>
                <w:rPr>
                  <w:rStyle w:val="1311"/>
                  <w:rFonts w:eastAsia="Calibri" w:cs="Arial"/>
                  <w:sz w:val="26"/>
                  <w:szCs w:val="22"/>
                  <w:lang w:val="ru-RU" w:eastAsia="en-US" w:bidi="ar-SA"/>
                </w:rPr>
                <w:t xml:space="preserve">Приложение № 3</w:t>
              </w:r>
            </w:hyperlink>
            <w:r>
              <w:rPr>
                <w:rFonts w:eastAsia="Calibri" w:cs="Arial"/>
                <w:sz w:val="26"/>
                <w:szCs w:val="22"/>
                <w:lang w:val="ru-RU" w:eastAsia="en-US" w:bidi="ar-SA"/>
              </w:rPr>
              <w:t xml:space="preserve">)</w:t>
            </w:r>
            <w:r/>
          </w:p>
        </w:tc>
        <w:tc>
          <w:tcPr>
            <w:tcW w:w="2090" w:type="dxa"/>
            <w:textDirection w:val="lrTb"/>
            <w:noWrap w:val="false"/>
          </w:tcPr>
          <w:p>
            <w:pPr>
              <w:pStyle w:val="1342"/>
              <w:jc w:val="center"/>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Орг</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r>
      <w:tr>
        <w:tblPrEx/>
        <w:trPr/>
        <w:tc>
          <w:tcPr>
            <w:gridSpan w:val="2"/>
            <w:tcW w:w="9918" w:type="dxa"/>
            <w:textDirection w:val="lrTb"/>
            <w:noWrap w:val="false"/>
          </w:tcPr>
          <w:p>
            <w:pPr>
              <w:pStyle w:val="1342"/>
              <w:keepNext/>
              <w:spacing w:before="60" w:after="60" w:line="240" w:lineRule="auto"/>
              <w:widowControl w:val="off"/>
              <w:rPr>
                <w:b/>
                <w:bCs/>
              </w:rPr>
            </w:pPr>
            <w:r>
              <w:rPr>
                <w:rFonts w:eastAsia="Calibri" w:cs="Arial"/>
                <w:b/>
                <w:bCs/>
                <w:sz w:val="26"/>
                <w:szCs w:val="22"/>
                <w:lang w:val="ru-RU" w:eastAsia="en-US" w:bidi="ar-SA"/>
              </w:rPr>
              <w:t xml:space="preserve">Соответствие Технического предложения Участника </w:t>
            </w:r>
            <w:hyperlink w:tooltip="#Прил01_ТехТребования" w:anchor="Прил01_ТехТребования" w:history="1">
              <w:r>
                <w:rPr>
                  <w:rStyle w:val="1311"/>
                  <w:rFonts w:eastAsia="Calibri" w:cs="Arial"/>
                  <w:b/>
                  <w:bCs/>
                  <w:sz w:val="26"/>
                  <w:szCs w:val="22"/>
                  <w:lang w:val="ru-RU" w:eastAsia="en-US" w:bidi="ar-SA"/>
                </w:rPr>
                <w:t xml:space="preserve">Техническим требованиям (Приложение № 1)</w:t>
              </w:r>
            </w:hyperlink>
            <w:r>
              <w:rPr>
                <w:rFonts w:eastAsia="Calibri" w:cs="Arial"/>
                <w:b/>
                <w:bCs/>
                <w:sz w:val="26"/>
                <w:szCs w:val="22"/>
                <w:lang w:val="ru-RU" w:eastAsia="en-US" w:bidi="ar-SA"/>
              </w:rPr>
              <w:t xml:space="preserve">, в том числе:</w:t>
            </w:r>
            <w:r>
              <w:rPr>
                <w:b/>
                <w:bCs/>
              </w:rPr>
            </w:r>
            <w:r>
              <w:rPr>
                <w:b/>
                <w:bCs/>
              </w:rPr>
            </w:r>
          </w:p>
        </w:tc>
        <w:tc>
          <w:tcPr>
            <w:tcW w:w="3117" w:type="dxa"/>
            <w:textDirection w:val="lrTb"/>
            <w:noWrap w:val="false"/>
          </w:tcPr>
          <w:p>
            <w:pPr>
              <w:pStyle w:val="1342"/>
              <w:jc w:val="center"/>
              <w:keepNext/>
              <w:spacing w:before="60" w:after="60" w:line="240" w:lineRule="auto"/>
              <w:widowControl w:val="off"/>
              <w:rPr>
                <w:b/>
                <w:bCs/>
              </w:rPr>
            </w:pPr>
            <w:r>
              <w:rPr>
                <w:rFonts w:eastAsia="Calibri" w:cs="Arial"/>
                <w:b/>
                <w:bCs/>
                <w:sz w:val="26"/>
                <w:szCs w:val="22"/>
                <w:lang w:val="ru-RU" w:eastAsia="en-US" w:bidi="ar-SA"/>
              </w:rPr>
              <w:t xml:space="preserve">–</w:t>
            </w:r>
            <w:r>
              <w:rPr>
                <w:b/>
                <w:bCs/>
              </w:rPr>
            </w:r>
            <w:r>
              <w:rPr>
                <w:b/>
                <w:bCs/>
              </w:rPr>
            </w:r>
          </w:p>
        </w:tc>
        <w:tc>
          <w:tcPr>
            <w:tcW w:w="2090" w:type="dxa"/>
            <w:textDirection w:val="lrTb"/>
            <w:noWrap w:val="false"/>
          </w:tcPr>
          <w:p>
            <w:pPr>
              <w:pStyle w:val="1342"/>
              <w:jc w:val="center"/>
              <w:keepNext/>
              <w:spacing w:before="60" w:after="60" w:line="240" w:lineRule="auto"/>
              <w:widowControl w:val="off"/>
              <w:rPr>
                <w:b/>
                <w:bCs/>
              </w:rPr>
            </w:pPr>
            <w:r>
              <w:rPr>
                <w:rFonts w:eastAsia="Calibri" w:cs="Arial"/>
                <w:b/>
                <w:bCs/>
                <w:sz w:val="26"/>
                <w:szCs w:val="22"/>
                <w:lang w:val="ru-RU" w:eastAsia="en-US" w:bidi="ar-SA"/>
              </w:rPr>
              <w:t xml:space="preserve">–</w:t>
            </w:r>
            <w:r>
              <w:rPr>
                <w:b/>
                <w:bCs/>
              </w:rPr>
            </w:r>
            <w:r>
              <w:rPr>
                <w:b/>
                <w:bCs/>
              </w:rPr>
            </w:r>
          </w:p>
        </w:tc>
      </w:tr>
      <w:tr>
        <w:tblPrEx/>
        <w:trPr/>
        <w:tc>
          <w:tcPr>
            <w:tcW w:w="1412" w:type="dxa"/>
            <w:textDirection w:val="lrTb"/>
            <w:noWrap w:val="false"/>
          </w:tcPr>
          <w:p>
            <w:pPr>
              <w:pStyle w:val="1342"/>
              <w:numPr>
                <w:ilvl w:val="0"/>
                <w:numId w:val="7"/>
              </w:numPr>
              <w:ind w:left="170" w:firstLine="0"/>
              <w:jc w:val="center"/>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8506" w:type="dxa"/>
            <w:textDirection w:val="lrTb"/>
            <w:noWrap w:val="false"/>
          </w:tcPr>
          <w:p>
            <w:pPr>
              <w:pStyle w:val="1342"/>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Соответствие предложения требованиям к стране происхождения поставляемого товара, установленным в Технических требованиях</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p>
            <w:pPr>
              <w:pStyle w:val="1342"/>
              <w:spacing w:before="60" w:after="60" w:line="240" w:lineRule="auto"/>
              <w:widowControl w:val="off"/>
              <w:rPr>
                <w:i/>
                <w:iCs/>
              </w:rPr>
            </w:pPr>
            <w:r>
              <w:rPr>
                <w:rFonts w:eastAsia="Calibri" w:cs="Arial"/>
                <w:i/>
                <w:iCs/>
                <w:sz w:val="26"/>
                <w:szCs w:val="22"/>
                <w:lang w:val="ru-RU" w:eastAsia="en-US" w:bidi="ar-SA"/>
              </w:rPr>
              <w:t xml:space="preserve">(пункт применяется только в случае исполнения Заказчиком</w:t>
            </w:r>
            <w:r>
              <w:rPr>
                <w:rFonts w:eastAsia="Calibri" w:cs="Arial"/>
                <w:sz w:val="26"/>
                <w:szCs w:val="22"/>
                <w:lang w:val="ru-RU" w:eastAsia="en-US" w:bidi="ar-SA"/>
              </w:rPr>
              <w:t xml:space="preserve"> </w:t>
            </w:r>
            <w:r>
              <w:rPr>
                <w:rFonts w:eastAsia="Calibri" w:cs="Arial"/>
                <w:i/>
                <w:iCs/>
                <w:sz w:val="26"/>
                <w:szCs w:val="22"/>
                <w:lang w:val="ru-RU" w:eastAsia="en-US" w:bidi="ar-SA"/>
              </w:rPr>
              <w:t xml:space="preserve">норм в части минимальной обязательной доли закупок товаров российского происхождения (подраздел </w:t>
            </w:r>
            <w:r>
              <w:rPr>
                <w:rFonts w:eastAsia="Calibri" w:cs="Arial"/>
                <w:i/>
                <w:iCs/>
                <w:sz w:val="26"/>
                <w:szCs w:val="22"/>
                <w:lang w:val="ru-RU" w:eastAsia="en-US" w:bidi="ar-SA"/>
              </w:rPr>
              <w:fldChar w:fldCharType="begin"/>
            </w:r>
            <w:r>
              <w:rPr>
                <w:rFonts w:eastAsia="Calibri" w:cs="Arial"/>
                <w:i/>
                <w:iCs/>
                <w:sz w:val="26"/>
                <w:szCs w:val="22"/>
                <w:lang w:val="ru-RU" w:eastAsia="en-US" w:bidi="ar-SA"/>
              </w:rPr>
              <w:instrText xml:space="preserve"> REF _Ref186213053 \r \h </w:instrText>
            </w:r>
            <w:r>
              <w:rPr>
                <w:rFonts w:eastAsia="Calibri" w:cs="Arial"/>
                <w:i/>
                <w:iCs/>
                <w:sz w:val="26"/>
                <w:szCs w:val="22"/>
                <w:lang w:val="ru-RU" w:eastAsia="en-US" w:bidi="ar-SA"/>
              </w:rPr>
              <w:fldChar w:fldCharType="separate"/>
            </w:r>
            <w:r>
              <w:rPr>
                <w:rFonts w:eastAsia="Calibri" w:cs="Arial"/>
                <w:i/>
                <w:iCs/>
                <w:sz w:val="26"/>
                <w:szCs w:val="22"/>
                <w:lang w:val="ru-RU" w:eastAsia="en-US" w:bidi="ar-SA"/>
              </w:rPr>
              <w:t xml:space="preserve">4.13</w:t>
            </w:r>
            <w:r>
              <w:rPr>
                <w:rFonts w:eastAsia="Calibri" w:cs="Arial"/>
                <w:i/>
                <w:iCs/>
                <w:sz w:val="26"/>
                <w:szCs w:val="22"/>
                <w:lang w:val="ru-RU" w:eastAsia="en-US" w:bidi="ar-SA"/>
              </w:rPr>
              <w:fldChar w:fldCharType="end"/>
            </w:r>
            <w:r>
              <w:rPr>
                <w:rFonts w:eastAsia="Calibri" w:cs="Arial"/>
                <w:i/>
                <w:iCs/>
                <w:sz w:val="26"/>
                <w:szCs w:val="22"/>
                <w:lang w:val="ru-RU" w:eastAsia="en-US" w:bidi="ar-SA"/>
              </w:rPr>
              <w:t xml:space="preserve">))</w:t>
            </w:r>
            <w:r>
              <w:rPr>
                <w:i/>
                <w:iCs/>
              </w:rPr>
            </w:r>
            <w:r>
              <w:rPr>
                <w:i/>
                <w:iCs/>
              </w:rPr>
            </w:r>
          </w:p>
        </w:tc>
        <w:tc>
          <w:tcPr>
            <w:tcW w:w="3117" w:type="dxa"/>
            <w:textDirection w:val="lrTb"/>
            <w:noWrap w:val="false"/>
          </w:tcPr>
          <w:p>
            <w:pPr>
              <w:pStyle w:val="1342"/>
              <w:jc w:val="center"/>
              <w:spacing w:before="60" w:after="60" w:line="240" w:lineRule="auto"/>
              <w:widowControl w:val="off"/>
            </w:pPr>
            <w:r>
              <w:rPr>
                <w:rFonts w:eastAsia="Calibri" w:cs="Arial"/>
                <w:sz w:val="26"/>
                <w:szCs w:val="22"/>
                <w:lang w:val="ru-RU" w:eastAsia="en-US" w:bidi="ar-SA"/>
              </w:rPr>
              <w:t xml:space="preserve">подразделы </w:t>
            </w:r>
            <w:r>
              <w:rPr>
                <w:rFonts w:eastAsia="Calibri" w:cs="Arial"/>
                <w:sz w:val="26"/>
                <w:szCs w:val="22"/>
                <w:lang w:val="ru-RU" w:eastAsia="en-US" w:bidi="ar-SA"/>
              </w:rPr>
              <w:fldChar w:fldCharType="begin"/>
            </w:r>
            <w:r>
              <w:rPr>
                <w:rFonts w:eastAsia="Calibri" w:cs="Arial"/>
                <w:sz w:val="26"/>
                <w:szCs w:val="22"/>
                <w:lang w:val="ru-RU" w:eastAsia="en-US" w:bidi="ar-SA"/>
              </w:rPr>
              <w:instrText xml:space="preserve"> REF _Ref130394681 \r \h </w:instrText>
            </w:r>
            <w:r>
              <w:rPr>
                <w:rFonts w:eastAsia="Calibri" w:cs="Arial"/>
                <w:sz w:val="26"/>
                <w:szCs w:val="22"/>
                <w:lang w:val="ru-RU" w:eastAsia="en-US" w:bidi="ar-SA"/>
              </w:rPr>
              <w:fldChar w:fldCharType="separate"/>
            </w:r>
            <w:r>
              <w:rPr>
                <w:rFonts w:eastAsia="Calibri" w:cs="Arial"/>
                <w:sz w:val="26"/>
                <w:szCs w:val="22"/>
                <w:lang w:val="ru-RU" w:eastAsia="en-US" w:bidi="ar-SA"/>
              </w:rPr>
              <w:t xml:space="preserve">4.3</w:t>
            </w:r>
            <w:r>
              <w:rPr>
                <w:rFonts w:eastAsia="Calibri" w:cs="Arial"/>
                <w:sz w:val="26"/>
                <w:szCs w:val="22"/>
                <w:lang w:val="ru-RU" w:eastAsia="en-US" w:bidi="ar-SA"/>
              </w:rPr>
              <w:fldChar w:fldCharType="end"/>
            </w:r>
            <w:r>
              <w:rPr>
                <w:rFonts w:eastAsia="Calibri" w:cs="Arial"/>
                <w:sz w:val="26"/>
                <w:szCs w:val="22"/>
                <w:lang w:val="ru-RU" w:eastAsia="en-US" w:bidi="ar-SA"/>
              </w:rPr>
              <w:t xml:space="preserve">, </w:t>
            </w:r>
            <w:r>
              <w:rPr>
                <w:rFonts w:eastAsia="Calibri" w:cs="Arial"/>
                <w:sz w:val="26"/>
                <w:szCs w:val="22"/>
                <w:lang w:val="ru-RU" w:eastAsia="en-US" w:bidi="ar-SA"/>
              </w:rPr>
              <w:fldChar w:fldCharType="begin"/>
            </w:r>
            <w:r>
              <w:rPr>
                <w:rFonts w:eastAsia="Calibri" w:cs="Arial"/>
                <w:sz w:val="26"/>
                <w:szCs w:val="22"/>
                <w:lang w:val="ru-RU" w:eastAsia="en-US" w:bidi="ar-SA"/>
              </w:rPr>
              <w:instrText xml:space="preserve"> REF _Ref130985951 \r \h </w:instrText>
            </w:r>
            <w:r>
              <w:rPr>
                <w:rFonts w:eastAsia="Calibri" w:cs="Arial"/>
                <w:sz w:val="26"/>
                <w:szCs w:val="22"/>
                <w:lang w:val="ru-RU" w:eastAsia="en-US" w:bidi="ar-SA"/>
              </w:rPr>
              <w:fldChar w:fldCharType="separate"/>
            </w:r>
            <w:r>
              <w:rPr>
                <w:rFonts w:eastAsia="Calibri" w:cs="Arial"/>
                <w:sz w:val="26"/>
                <w:szCs w:val="22"/>
                <w:lang w:val="ru-RU" w:eastAsia="en-US" w:bidi="ar-SA"/>
              </w:rPr>
              <w:t xml:space="preserve">4.13</w:t>
            </w:r>
            <w:r>
              <w:rPr>
                <w:rFonts w:eastAsia="Calibri" w:cs="Arial"/>
                <w:sz w:val="26"/>
                <w:szCs w:val="22"/>
                <w:lang w:val="ru-RU" w:eastAsia="en-US" w:bidi="ar-SA"/>
              </w:rPr>
              <w:fldChar w:fldCharType="end"/>
            </w:r>
            <w:r>
              <w:rPr>
                <w:rFonts w:eastAsia="Calibri" w:cs="Arial"/>
                <w:sz w:val="26"/>
                <w:szCs w:val="22"/>
                <w:lang w:val="ru-RU" w:eastAsia="en-US" w:bidi="ar-SA"/>
              </w:rPr>
              <w:br/>
            </w:r>
            <w:hyperlink w:tooltip="#Прил01_ТехТребования" w:anchor="Прил01_ТехТребования" w:history="1">
              <w:r>
                <w:rPr>
                  <w:rStyle w:val="1311"/>
                  <w:rFonts w:eastAsia="Calibri" w:cs="Arial"/>
                  <w:sz w:val="26"/>
                  <w:szCs w:val="22"/>
                  <w:lang w:val="ru-RU" w:eastAsia="en-US" w:bidi="ar-SA"/>
                </w:rPr>
                <w:t xml:space="preserve">Приложение № 1</w:t>
              </w:r>
            </w:hyperlink>
            <w:r/>
            <w:r/>
          </w:p>
        </w:tc>
        <w:tc>
          <w:tcPr>
            <w:tcW w:w="2090" w:type="dxa"/>
            <w:textDirection w:val="lrTb"/>
            <w:noWrap w:val="false"/>
          </w:tcPr>
          <w:p>
            <w:pPr>
              <w:pStyle w:val="1342"/>
              <w:jc w:val="center"/>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Тех</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r>
      <w:tr>
        <w:tblPrEx/>
        <w:trPr/>
        <w:tc>
          <w:tcPr>
            <w:tcW w:w="1412" w:type="dxa"/>
            <w:textDirection w:val="lrTb"/>
            <w:noWrap w:val="false"/>
          </w:tcPr>
          <w:p>
            <w:pPr>
              <w:pStyle w:val="1342"/>
              <w:numPr>
                <w:ilvl w:val="0"/>
                <w:numId w:val="7"/>
              </w:numPr>
              <w:ind w:left="170" w:firstLine="0"/>
              <w:jc w:val="center"/>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8506" w:type="dxa"/>
            <w:textDirection w:val="lrTb"/>
            <w:noWrap w:val="false"/>
          </w:tcPr>
          <w:p>
            <w:pPr>
              <w:pStyle w:val="1342"/>
              <w:spacing w:before="60" w:after="60" w:line="240" w:lineRule="auto"/>
              <w:widowControl w:val="off"/>
            </w:pPr>
            <w:r>
              <w:rPr>
                <w:rFonts w:eastAsia="Calibri" w:cs="Arial"/>
                <w:sz w:val="26"/>
                <w:szCs w:val="22"/>
                <w:lang w:val="ru-RU" w:eastAsia="en-US" w:bidi="ar-SA"/>
              </w:rPr>
              <w:t xml:space="preserve">Соответствие объемов и состава работ / услуг, технологии производства работ, предложенных Участником в Техническом предложении, Коммерческом предложении и (или) прилагаемой к нему подтверждающей документации, требованиям, указанным в </w:t>
            </w:r>
            <w:hyperlink w:tooltip="#Прил01_ТехТребования" w:anchor="Прил01_ТехТребования" w:history="1">
              <w:r>
                <w:rPr>
                  <w:rStyle w:val="1311"/>
                  <w:rFonts w:eastAsia="Calibri" w:cs="Arial"/>
                  <w:sz w:val="26"/>
                  <w:szCs w:val="22"/>
                  <w:lang w:val="ru-RU" w:eastAsia="en-US" w:bidi="ar-SA"/>
                </w:rPr>
                <w:t xml:space="preserve">Технических требованиях (Приложение № 1)</w:t>
              </w:r>
            </w:hyperlink>
            <w:r/>
            <w:r/>
          </w:p>
        </w:tc>
        <w:tc>
          <w:tcPr>
            <w:tcW w:w="3117" w:type="dxa"/>
            <w:textDirection w:val="lrTb"/>
            <w:noWrap w:val="false"/>
          </w:tcPr>
          <w:p>
            <w:pPr>
              <w:pStyle w:val="1342"/>
              <w:jc w:val="center"/>
              <w:spacing w:before="60" w:after="60" w:line="240" w:lineRule="auto"/>
              <w:widowControl w:val="off"/>
            </w:pPr>
            <w:r>
              <w:rPr>
                <w:rFonts w:eastAsia="Calibri" w:cs="Arial"/>
                <w:sz w:val="26"/>
                <w:szCs w:val="22"/>
                <w:lang w:val="ru-RU" w:eastAsia="en-US" w:bidi="ar-SA"/>
              </w:rPr>
              <w:t xml:space="preserve">подраздел </w:t>
            </w:r>
            <w:r>
              <w:rPr>
                <w:rFonts w:eastAsia="Calibri" w:cs="Arial"/>
                <w:sz w:val="26"/>
                <w:szCs w:val="22"/>
                <w:lang w:val="ru-RU" w:eastAsia="en-US" w:bidi="ar-SA"/>
              </w:rPr>
              <w:fldChar w:fldCharType="begin"/>
            </w:r>
            <w:r>
              <w:rPr>
                <w:rFonts w:eastAsia="Calibri" w:cs="Arial"/>
                <w:sz w:val="26"/>
                <w:szCs w:val="22"/>
                <w:lang w:val="ru-RU" w:eastAsia="en-US" w:bidi="ar-SA"/>
              </w:rPr>
              <w:instrText xml:space="preserve"> REF _Ref130394681 \r \h </w:instrText>
            </w:r>
            <w:r>
              <w:rPr>
                <w:rFonts w:eastAsia="Calibri" w:cs="Arial"/>
                <w:sz w:val="26"/>
                <w:szCs w:val="22"/>
                <w:lang w:val="ru-RU" w:eastAsia="en-US" w:bidi="ar-SA"/>
              </w:rPr>
              <w:fldChar w:fldCharType="separate"/>
            </w:r>
            <w:r>
              <w:rPr>
                <w:rFonts w:eastAsia="Calibri" w:cs="Arial"/>
                <w:sz w:val="26"/>
                <w:szCs w:val="22"/>
                <w:lang w:val="ru-RU" w:eastAsia="en-US" w:bidi="ar-SA"/>
              </w:rPr>
              <w:t xml:space="preserve">4.3</w:t>
            </w:r>
            <w:r>
              <w:rPr>
                <w:rFonts w:eastAsia="Calibri" w:cs="Arial"/>
                <w:sz w:val="26"/>
                <w:szCs w:val="22"/>
                <w:lang w:val="ru-RU" w:eastAsia="en-US" w:bidi="ar-SA"/>
              </w:rPr>
              <w:fldChar w:fldCharType="end"/>
            </w:r>
            <w:r>
              <w:rPr>
                <w:rFonts w:eastAsia="Calibri" w:cs="Arial"/>
                <w:sz w:val="26"/>
                <w:szCs w:val="22"/>
                <w:lang w:val="ru-RU" w:eastAsia="en-US" w:bidi="ar-SA"/>
              </w:rPr>
              <w:br/>
            </w:r>
            <w:hyperlink w:tooltip="#Прил01_ТехТребования" w:anchor="Прил01_ТехТребования" w:history="1">
              <w:r>
                <w:rPr>
                  <w:rStyle w:val="1311"/>
                  <w:rFonts w:eastAsia="Calibri" w:cs="Arial"/>
                  <w:sz w:val="26"/>
                  <w:szCs w:val="22"/>
                  <w:lang w:val="ru-RU" w:eastAsia="en-US" w:bidi="ar-SA"/>
                </w:rPr>
                <w:t xml:space="preserve">Приложение № 1</w:t>
              </w:r>
            </w:hyperlink>
            <w:r/>
            <w:r/>
          </w:p>
        </w:tc>
        <w:tc>
          <w:tcPr>
            <w:tcW w:w="2090" w:type="dxa"/>
            <w:textDirection w:val="lrTb"/>
            <w:noWrap w:val="false"/>
          </w:tcPr>
          <w:p>
            <w:pPr>
              <w:pStyle w:val="1342"/>
              <w:jc w:val="center"/>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Тех</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r>
      <w:tr>
        <w:tblPrEx/>
        <w:trPr/>
        <w:tc>
          <w:tcPr>
            <w:tcW w:w="1412" w:type="dxa"/>
            <w:textDirection w:val="lrTb"/>
            <w:noWrap w:val="false"/>
          </w:tcPr>
          <w:p>
            <w:pPr>
              <w:pStyle w:val="1342"/>
              <w:numPr>
                <w:ilvl w:val="0"/>
                <w:numId w:val="7"/>
              </w:numPr>
              <w:ind w:left="170" w:firstLine="0"/>
              <w:jc w:val="center"/>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8506" w:type="dxa"/>
            <w:textDirection w:val="lrTb"/>
            <w:noWrap w:val="false"/>
          </w:tcPr>
          <w:p>
            <w:pPr>
              <w:pStyle w:val="1342"/>
              <w:spacing w:before="60" w:after="60" w:line="240" w:lineRule="auto"/>
              <w:widowControl w:val="off"/>
            </w:pPr>
            <w:r>
              <w:rPr>
                <w:rFonts w:eastAsia="Calibri" w:cs="Arial"/>
                <w:sz w:val="26"/>
                <w:szCs w:val="22"/>
                <w:lang w:val="ru-RU" w:eastAsia="en-US" w:bidi="ar-SA"/>
              </w:rPr>
              <w:t xml:space="preserve">Соответствие номенклатуры, количества и характеристик материалов / оборудования, предложенных Участником в Техническом предложении, Коммерческом предложении и (или) прилагаемой к нему подтверждающей документации, требованиям, указанным в </w:t>
            </w:r>
            <w:hyperlink w:tooltip="#Прил01_ТехТребования" w:anchor="Прил01_ТехТребования" w:history="1">
              <w:r>
                <w:rPr>
                  <w:rStyle w:val="1311"/>
                  <w:rFonts w:eastAsia="Calibri" w:cs="Arial"/>
                  <w:sz w:val="26"/>
                  <w:szCs w:val="22"/>
                  <w:lang w:val="ru-RU" w:eastAsia="en-US" w:bidi="ar-SA"/>
                </w:rPr>
                <w:t xml:space="preserve">Технических требованиях (Приложение № 1)</w:t>
              </w:r>
            </w:hyperlink>
            <w:r/>
            <w:r/>
          </w:p>
        </w:tc>
        <w:tc>
          <w:tcPr>
            <w:tcW w:w="3117" w:type="dxa"/>
            <w:textDirection w:val="lrTb"/>
            <w:noWrap w:val="false"/>
          </w:tcPr>
          <w:p>
            <w:pPr>
              <w:pStyle w:val="1342"/>
              <w:jc w:val="center"/>
              <w:spacing w:before="60" w:after="60" w:line="240" w:lineRule="auto"/>
              <w:widowControl w:val="off"/>
            </w:pPr>
            <w:r>
              <w:rPr>
                <w:rFonts w:eastAsia="Calibri" w:cs="Arial"/>
                <w:sz w:val="26"/>
                <w:szCs w:val="22"/>
                <w:lang w:val="ru-RU" w:eastAsia="en-US" w:bidi="ar-SA"/>
              </w:rPr>
              <w:t xml:space="preserve">Подразделы </w:t>
            </w:r>
            <w:r>
              <w:rPr>
                <w:rFonts w:eastAsia="Calibri" w:cs="Arial"/>
                <w:sz w:val="26"/>
                <w:szCs w:val="22"/>
                <w:lang w:val="ru-RU" w:eastAsia="en-US" w:bidi="ar-SA"/>
              </w:rPr>
              <w:fldChar w:fldCharType="begin"/>
            </w:r>
            <w:r>
              <w:rPr>
                <w:rFonts w:eastAsia="Calibri" w:cs="Arial"/>
                <w:sz w:val="26"/>
                <w:szCs w:val="22"/>
                <w:lang w:val="ru-RU" w:eastAsia="en-US" w:bidi="ar-SA"/>
              </w:rPr>
              <w:instrText xml:space="preserve"> REF _Ref130394681 \r \h </w:instrText>
            </w:r>
            <w:r>
              <w:rPr>
                <w:rFonts w:eastAsia="Calibri" w:cs="Arial"/>
                <w:sz w:val="26"/>
                <w:szCs w:val="22"/>
                <w:lang w:val="ru-RU" w:eastAsia="en-US" w:bidi="ar-SA"/>
              </w:rPr>
              <w:fldChar w:fldCharType="separate"/>
            </w:r>
            <w:r>
              <w:rPr>
                <w:rFonts w:eastAsia="Calibri" w:cs="Arial"/>
                <w:sz w:val="26"/>
                <w:szCs w:val="22"/>
                <w:lang w:val="ru-RU" w:eastAsia="en-US" w:bidi="ar-SA"/>
              </w:rPr>
              <w:t xml:space="preserve">4.3</w:t>
            </w:r>
            <w:r>
              <w:rPr>
                <w:rFonts w:eastAsia="Calibri" w:cs="Arial"/>
                <w:sz w:val="26"/>
                <w:szCs w:val="22"/>
                <w:lang w:val="ru-RU" w:eastAsia="en-US" w:bidi="ar-SA"/>
              </w:rPr>
              <w:fldChar w:fldCharType="end"/>
            </w:r>
            <w:r>
              <w:rPr>
                <w:rFonts w:eastAsia="Calibri" w:cs="Arial"/>
                <w:sz w:val="26"/>
                <w:szCs w:val="22"/>
                <w:lang w:val="ru-RU" w:eastAsia="en-US" w:bidi="ar-SA"/>
              </w:rPr>
              <w:t xml:space="preserve">, </w:t>
            </w:r>
            <w:r>
              <w:rPr>
                <w:rFonts w:eastAsia="Calibri" w:cs="Arial"/>
                <w:sz w:val="26"/>
                <w:szCs w:val="22"/>
                <w:lang w:val="ru-RU" w:eastAsia="en-US" w:bidi="ar-SA"/>
              </w:rPr>
              <w:fldChar w:fldCharType="begin"/>
            </w:r>
            <w:r>
              <w:rPr>
                <w:rFonts w:eastAsia="Calibri" w:cs="Arial"/>
                <w:sz w:val="26"/>
                <w:szCs w:val="22"/>
                <w:lang w:val="ru-RU" w:eastAsia="en-US" w:bidi="ar-SA"/>
              </w:rPr>
              <w:instrText xml:space="preserve"> REF _Ref130985951 \r \h </w:instrText>
            </w:r>
            <w:r>
              <w:rPr>
                <w:rFonts w:eastAsia="Calibri" w:cs="Arial"/>
                <w:sz w:val="26"/>
                <w:szCs w:val="22"/>
                <w:lang w:val="ru-RU" w:eastAsia="en-US" w:bidi="ar-SA"/>
              </w:rPr>
              <w:fldChar w:fldCharType="separate"/>
            </w:r>
            <w:r>
              <w:rPr>
                <w:rFonts w:eastAsia="Calibri" w:cs="Arial"/>
                <w:sz w:val="26"/>
                <w:szCs w:val="22"/>
                <w:lang w:val="ru-RU" w:eastAsia="en-US" w:bidi="ar-SA"/>
              </w:rPr>
              <w:t xml:space="preserve">4.13</w:t>
            </w:r>
            <w:r>
              <w:rPr>
                <w:rFonts w:eastAsia="Calibri" w:cs="Arial"/>
                <w:sz w:val="26"/>
                <w:szCs w:val="22"/>
                <w:lang w:val="ru-RU" w:eastAsia="en-US" w:bidi="ar-SA"/>
              </w:rPr>
              <w:fldChar w:fldCharType="end"/>
            </w:r>
            <w:r>
              <w:rPr>
                <w:rFonts w:eastAsia="Calibri" w:cs="Arial"/>
                <w:sz w:val="26"/>
                <w:szCs w:val="22"/>
                <w:lang w:val="ru-RU" w:eastAsia="en-US" w:bidi="ar-SA"/>
              </w:rPr>
              <w:br/>
            </w:r>
            <w:hyperlink w:tooltip="#Прил01_ТехТребования" w:anchor="Прил01_ТехТребования" w:history="1">
              <w:r>
                <w:rPr>
                  <w:rStyle w:val="1311"/>
                  <w:rFonts w:eastAsia="Calibri" w:cs="Arial"/>
                  <w:sz w:val="26"/>
                  <w:szCs w:val="22"/>
                  <w:lang w:val="ru-RU" w:eastAsia="en-US" w:bidi="ar-SA"/>
                </w:rPr>
                <w:t xml:space="preserve">Приложение № 1</w:t>
              </w:r>
            </w:hyperlink>
            <w:r/>
            <w:r/>
          </w:p>
        </w:tc>
        <w:tc>
          <w:tcPr>
            <w:tcW w:w="2090" w:type="dxa"/>
            <w:textDirection w:val="lrTb"/>
            <w:noWrap w:val="false"/>
          </w:tcPr>
          <w:p>
            <w:pPr>
              <w:pStyle w:val="1342"/>
              <w:jc w:val="center"/>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Тех</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r>
      <w:tr>
        <w:tblPrEx/>
        <w:trPr/>
        <w:tc>
          <w:tcPr>
            <w:tcW w:w="1412" w:type="dxa"/>
            <w:textDirection w:val="lrTb"/>
            <w:noWrap w:val="false"/>
          </w:tcPr>
          <w:p>
            <w:pPr>
              <w:pStyle w:val="1342"/>
              <w:numPr>
                <w:ilvl w:val="0"/>
                <w:numId w:val="7"/>
              </w:numPr>
              <w:ind w:left="170" w:firstLine="0"/>
              <w:jc w:val="center"/>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8506" w:type="dxa"/>
            <w:textDirection w:val="lrTb"/>
            <w:noWrap w:val="false"/>
          </w:tcPr>
          <w:p>
            <w:pPr>
              <w:pStyle w:val="1342"/>
              <w:spacing w:before="60" w:after="60" w:line="240" w:lineRule="auto"/>
              <w:widowControl w:val="off"/>
            </w:pPr>
            <w:r>
              <w:rPr>
                <w:rFonts w:eastAsia="Calibri" w:cs="Arial"/>
                <w:sz w:val="26"/>
                <w:szCs w:val="22"/>
                <w:lang w:val="ru-RU" w:eastAsia="en-US" w:bidi="ar-SA"/>
              </w:rPr>
              <w:t xml:space="preserve">Соответствие сроков (и (или) этапов) реализации Договора, предложенных Участником в Техническом предложении, указанным в </w:t>
            </w:r>
            <w:hyperlink w:tooltip="#Прил01_ТехТребования" w:anchor="Прил01_ТехТребования" w:history="1">
              <w:r>
                <w:rPr>
                  <w:rStyle w:val="1311"/>
                  <w:rFonts w:eastAsia="Calibri" w:cs="Arial"/>
                  <w:sz w:val="26"/>
                  <w:szCs w:val="22"/>
                  <w:lang w:val="ru-RU" w:eastAsia="en-US" w:bidi="ar-SA"/>
                </w:rPr>
                <w:t xml:space="preserve">Технических требованиях (Приложение № 1)</w:t>
              </w:r>
            </w:hyperlink>
            <w:r>
              <w:rPr>
                <w:rFonts w:eastAsia="Calibri" w:cs="Arial"/>
                <w:sz w:val="26"/>
                <w:szCs w:val="22"/>
                <w:lang w:val="ru-RU" w:eastAsia="en-US" w:bidi="ar-SA"/>
              </w:rPr>
              <w:t xml:space="preserve"> и (или) в </w:t>
            </w:r>
            <w:hyperlink w:tooltip="#Прил02_ПроектДоговора" w:anchor="Прил02_ПроектДоговора" w:history="1">
              <w:r>
                <w:rPr>
                  <w:rStyle w:val="1311"/>
                  <w:rFonts w:eastAsia="Calibri" w:cs="Arial"/>
                  <w:sz w:val="26"/>
                  <w:szCs w:val="22"/>
                  <w:lang w:val="ru-RU" w:eastAsia="en-US" w:bidi="ar-SA"/>
                </w:rPr>
                <w:t xml:space="preserve">Проекте договора (Приложение № 2)</w:t>
              </w:r>
            </w:hyperlink>
            <w:r>
              <w:rPr>
                <w:rFonts w:eastAsia="Calibri" w:cs="Arial"/>
                <w:sz w:val="26"/>
                <w:szCs w:val="22"/>
                <w:lang w:val="ru-RU" w:eastAsia="en-US" w:bidi="ar-SA"/>
              </w:rPr>
              <w:t xml:space="preserve">, или согласие с ними в Письме о подаче оферты</w:t>
            </w:r>
            <w:r/>
          </w:p>
        </w:tc>
        <w:tc>
          <w:tcPr>
            <w:tcW w:w="3117" w:type="dxa"/>
            <w:textDirection w:val="lrTb"/>
            <w:noWrap w:val="false"/>
          </w:tcPr>
          <w:p>
            <w:pPr>
              <w:pStyle w:val="1342"/>
              <w:jc w:val="center"/>
              <w:spacing w:before="60" w:after="60" w:line="240" w:lineRule="auto"/>
              <w:widowControl w:val="off"/>
            </w:pPr>
            <w:r/>
            <w:hyperlink w:tooltip="#Прил01_ТехТребования" w:anchor="Прил01_ТехТребования" w:history="1">
              <w:r>
                <w:rPr>
                  <w:rStyle w:val="1311"/>
                  <w:rFonts w:eastAsia="Calibri" w:cs="Arial"/>
                  <w:sz w:val="26"/>
                  <w:szCs w:val="22"/>
                  <w:lang w:val="ru-RU" w:eastAsia="en-US" w:bidi="ar-SA"/>
                </w:rPr>
                <w:t xml:space="preserve">Приложение № 1</w:t>
              </w:r>
            </w:hyperlink>
            <w:r>
              <w:rPr>
                <w:rFonts w:eastAsia="Calibri" w:cs="Arial"/>
                <w:sz w:val="26"/>
                <w:szCs w:val="22"/>
                <w:lang w:val="ru-RU" w:eastAsia="en-US" w:bidi="ar-SA"/>
              </w:rPr>
              <w:t xml:space="preserve">,</w:t>
              <w:br/>
            </w:r>
            <w:hyperlink w:tooltip="#Прил02_ПроектДоговора" w:anchor="Прил02_ПроектДоговора" w:history="1">
              <w:r>
                <w:rPr>
                  <w:rStyle w:val="1311"/>
                  <w:rFonts w:eastAsia="Calibri" w:cs="Arial"/>
                  <w:sz w:val="26"/>
                  <w:szCs w:val="22"/>
                  <w:lang w:val="ru-RU" w:eastAsia="en-US" w:bidi="ar-SA"/>
                </w:rPr>
                <w:t xml:space="preserve">Приложение № 2</w:t>
              </w:r>
            </w:hyperlink>
            <w:r/>
            <w:r/>
          </w:p>
        </w:tc>
        <w:tc>
          <w:tcPr>
            <w:tcW w:w="2090" w:type="dxa"/>
            <w:textDirection w:val="lrTb"/>
            <w:noWrap w:val="false"/>
          </w:tcPr>
          <w:p>
            <w:pPr>
              <w:pStyle w:val="1342"/>
              <w:jc w:val="center"/>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Тех</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r>
      <w:tr>
        <w:tblPrEx/>
        <w:trPr/>
        <w:tc>
          <w:tcPr>
            <w:tcW w:w="1412" w:type="dxa"/>
            <w:textDirection w:val="lrTb"/>
            <w:noWrap w:val="false"/>
          </w:tcPr>
          <w:p>
            <w:pPr>
              <w:pStyle w:val="1342"/>
              <w:numPr>
                <w:ilvl w:val="0"/>
                <w:numId w:val="7"/>
              </w:numPr>
              <w:ind w:left="170" w:firstLine="0"/>
              <w:jc w:val="center"/>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8506" w:type="dxa"/>
            <w:textDirection w:val="lrTb"/>
            <w:noWrap w:val="false"/>
          </w:tcPr>
          <w:p>
            <w:pPr>
              <w:pStyle w:val="1342"/>
              <w:spacing w:before="60" w:after="60" w:line="240" w:lineRule="auto"/>
              <w:widowControl w:val="off"/>
            </w:pPr>
            <w:r>
              <w:rPr>
                <w:rFonts w:eastAsia="Calibri" w:cs="Arial"/>
                <w:sz w:val="26"/>
                <w:szCs w:val="22"/>
                <w:lang w:val="ru-RU" w:eastAsia="en-US" w:bidi="ar-SA"/>
              </w:rPr>
              <w:t xml:space="preserve">Соответствие требованиям к гарантии на поставляемые материалы / оборудование и результаты выполненных работ, указанным в </w:t>
            </w:r>
            <w:hyperlink w:tooltip="#Прил01_ТехТребования" w:anchor="Прил01_ТехТребования" w:history="1">
              <w:r>
                <w:rPr>
                  <w:rStyle w:val="1311"/>
                  <w:rFonts w:eastAsia="Calibri" w:cs="Arial"/>
                  <w:sz w:val="26"/>
                  <w:szCs w:val="22"/>
                  <w:lang w:val="ru-RU" w:eastAsia="en-US" w:bidi="ar-SA"/>
                </w:rPr>
                <w:t xml:space="preserve">Технических требованиях (Приложение № 1)</w:t>
              </w:r>
            </w:hyperlink>
            <w:r>
              <w:rPr>
                <w:rFonts w:eastAsia="Calibri" w:cs="Arial"/>
                <w:sz w:val="26"/>
                <w:szCs w:val="22"/>
                <w:lang w:val="ru-RU" w:eastAsia="en-US" w:bidi="ar-SA"/>
              </w:rPr>
              <w:t xml:space="preserve"> и (или) в </w:t>
            </w:r>
            <w:hyperlink w:tooltip="#Прил02_ПроектДоговора" w:anchor="Прил02_ПроектДоговора" w:history="1">
              <w:r>
                <w:rPr>
                  <w:rStyle w:val="1311"/>
                  <w:rFonts w:eastAsia="Calibri" w:cs="Arial"/>
                  <w:sz w:val="26"/>
                  <w:szCs w:val="22"/>
                  <w:lang w:val="ru-RU" w:eastAsia="en-US" w:bidi="ar-SA"/>
                </w:rPr>
                <w:t xml:space="preserve">Проекте договора (Приложение № 2)</w:t>
              </w:r>
            </w:hyperlink>
            <w:r/>
            <w:r/>
          </w:p>
          <w:p>
            <w:pPr>
              <w:pStyle w:val="1342"/>
              <w:spacing w:before="60" w:after="60" w:line="240" w:lineRule="auto"/>
              <w:widowControl w:val="off"/>
              <w:rPr>
                <w:rFonts w:ascii="Times New Roman" w:hAnsi="Times New Roman" w:eastAsia="Calibri" w:cs="Arial"/>
                <w:sz w:val="26"/>
                <w:szCs w:val="22"/>
                <w:lang w:val="ru-RU" w:eastAsia="en-US" w:bidi="ar-SA"/>
              </w:rPr>
            </w:pPr>
            <w:r>
              <w:rPr>
                <w:rFonts w:eastAsia="Calibri" w:cs="Arial"/>
                <w:i/>
                <w:iCs/>
                <w:sz w:val="26"/>
                <w:szCs w:val="22"/>
                <w:lang w:val="ru-RU" w:eastAsia="en-US" w:bidi="ar-SA"/>
              </w:rPr>
              <w:t xml:space="preserve">(пункт применяется только в случае установления соответствующих требований)</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3117" w:type="dxa"/>
            <w:textDirection w:val="lrTb"/>
            <w:noWrap w:val="false"/>
          </w:tcPr>
          <w:p>
            <w:pPr>
              <w:pStyle w:val="1342"/>
              <w:jc w:val="center"/>
              <w:spacing w:before="60" w:after="60" w:line="240" w:lineRule="auto"/>
              <w:widowControl w:val="off"/>
            </w:pPr>
            <w:r/>
            <w:hyperlink w:tooltip="#Прил01_ТехТребования" w:anchor="Прил01_ТехТребования" w:history="1">
              <w:r>
                <w:rPr>
                  <w:rStyle w:val="1311"/>
                  <w:rFonts w:eastAsia="Calibri" w:cs="Arial"/>
                  <w:sz w:val="26"/>
                  <w:szCs w:val="22"/>
                  <w:lang w:val="ru-RU" w:eastAsia="en-US" w:bidi="ar-SA"/>
                </w:rPr>
                <w:t xml:space="preserve">Приложение № 1</w:t>
              </w:r>
            </w:hyperlink>
            <w:r>
              <w:rPr>
                <w:rFonts w:eastAsia="Calibri" w:cs="Arial"/>
                <w:sz w:val="26"/>
                <w:szCs w:val="22"/>
                <w:lang w:val="ru-RU" w:eastAsia="en-US" w:bidi="ar-SA"/>
              </w:rPr>
              <w:t xml:space="preserve">,</w:t>
              <w:br/>
            </w:r>
            <w:hyperlink w:tooltip="#Прил02_ПроектДоговора" w:anchor="Прил02_ПроектДоговора" w:history="1">
              <w:r>
                <w:rPr>
                  <w:rStyle w:val="1311"/>
                  <w:rFonts w:eastAsia="Calibri" w:cs="Arial"/>
                  <w:sz w:val="26"/>
                  <w:szCs w:val="22"/>
                  <w:lang w:val="ru-RU" w:eastAsia="en-US" w:bidi="ar-SA"/>
                </w:rPr>
                <w:t xml:space="preserve">Приложение № 2</w:t>
              </w:r>
            </w:hyperlink>
            <w:r/>
            <w:r/>
          </w:p>
        </w:tc>
        <w:tc>
          <w:tcPr>
            <w:tcW w:w="2090" w:type="dxa"/>
            <w:textDirection w:val="lrTb"/>
            <w:noWrap w:val="false"/>
          </w:tcPr>
          <w:p>
            <w:pPr>
              <w:pStyle w:val="1342"/>
              <w:jc w:val="center"/>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Тех</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r>
      <w:tr>
        <w:tblPrEx/>
        <w:trPr/>
        <w:tc>
          <w:tcPr>
            <w:tcW w:w="1412" w:type="dxa"/>
            <w:textDirection w:val="lrTb"/>
            <w:noWrap w:val="false"/>
          </w:tcPr>
          <w:p>
            <w:pPr>
              <w:pStyle w:val="1342"/>
              <w:numPr>
                <w:ilvl w:val="0"/>
                <w:numId w:val="7"/>
              </w:numPr>
              <w:ind w:left="170" w:firstLine="0"/>
              <w:jc w:val="center"/>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8506" w:type="dxa"/>
            <w:textDirection w:val="lrTb"/>
            <w:noWrap w:val="false"/>
          </w:tcPr>
          <w:p>
            <w:pPr>
              <w:pStyle w:val="1342"/>
              <w:spacing w:before="60" w:after="60" w:line="240" w:lineRule="auto"/>
              <w:widowControl w:val="off"/>
            </w:pPr>
            <w:r>
              <w:rPr>
                <w:rFonts w:eastAsia="Calibri" w:cs="Arial"/>
                <w:sz w:val="26"/>
                <w:szCs w:val="22"/>
                <w:lang w:val="ru-RU" w:eastAsia="en-US" w:bidi="ar-SA"/>
              </w:rPr>
              <w:t xml:space="preserve">Соответствие предлагаемой к поставке продукции иным требованиям, установленным в </w:t>
            </w:r>
            <w:hyperlink w:tooltip="#Прил01_ТехТребования" w:anchor="Прил01_ТехТребования" w:history="1">
              <w:r>
                <w:rPr>
                  <w:rStyle w:val="1311"/>
                  <w:rFonts w:eastAsia="Calibri" w:cs="Arial"/>
                  <w:sz w:val="26"/>
                  <w:szCs w:val="22"/>
                  <w:lang w:val="ru-RU" w:eastAsia="en-US" w:bidi="ar-SA"/>
                </w:rPr>
                <w:t xml:space="preserve">Технических требованиях (Приложение № 1)</w:t>
              </w:r>
            </w:hyperlink>
            <w:r>
              <w:rPr>
                <w:rFonts w:eastAsia="Calibri" w:cs="Arial"/>
                <w:sz w:val="26"/>
                <w:szCs w:val="22"/>
                <w:lang w:val="ru-RU" w:eastAsia="en-US" w:bidi="ar-SA"/>
              </w:rPr>
              <w:t xml:space="preserve">, с предоставлением требуемых подтверждающих документов / сведений</w:t>
            </w:r>
            <w:r/>
          </w:p>
          <w:p>
            <w:pPr>
              <w:pStyle w:val="1342"/>
              <w:spacing w:before="60" w:after="60" w:line="240" w:lineRule="auto"/>
              <w:widowControl w:val="off"/>
              <w:rPr>
                <w:rFonts w:ascii="Times New Roman" w:hAnsi="Times New Roman" w:eastAsia="Calibri" w:cs="Arial"/>
                <w:sz w:val="26"/>
                <w:szCs w:val="22"/>
                <w:lang w:val="ru-RU" w:eastAsia="en-US" w:bidi="ar-SA"/>
              </w:rPr>
            </w:pPr>
            <w:r>
              <w:rPr>
                <w:rFonts w:eastAsia="Calibri" w:cs="Arial"/>
                <w:i/>
                <w:iCs/>
                <w:sz w:val="26"/>
                <w:szCs w:val="22"/>
                <w:lang w:val="ru-RU" w:eastAsia="en-US" w:bidi="ar-SA"/>
              </w:rPr>
              <w:t xml:space="preserve">(пункт применяется только в случае установления соответствующих требований)</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3117" w:type="dxa"/>
            <w:textDirection w:val="lrTb"/>
            <w:noWrap w:val="false"/>
          </w:tcPr>
          <w:p>
            <w:pPr>
              <w:pStyle w:val="1342"/>
              <w:jc w:val="center"/>
              <w:spacing w:before="60" w:after="60" w:line="240" w:lineRule="auto"/>
              <w:widowControl w:val="off"/>
            </w:pPr>
            <w:r/>
            <w:hyperlink w:tooltip="#Прил01_ТехТребования" w:anchor="Прил01_ТехТребования" w:history="1">
              <w:r>
                <w:rPr>
                  <w:rStyle w:val="1311"/>
                  <w:rFonts w:eastAsia="Calibri" w:cs="Arial"/>
                  <w:sz w:val="26"/>
                  <w:szCs w:val="22"/>
                  <w:lang w:val="ru-RU" w:eastAsia="en-US" w:bidi="ar-SA"/>
                </w:rPr>
                <w:t xml:space="preserve">Приложение № 1</w:t>
              </w:r>
            </w:hyperlink>
            <w:r/>
            <w:r/>
          </w:p>
        </w:tc>
        <w:tc>
          <w:tcPr>
            <w:tcW w:w="2090" w:type="dxa"/>
            <w:textDirection w:val="lrTb"/>
            <w:noWrap w:val="false"/>
          </w:tcPr>
          <w:p>
            <w:pPr>
              <w:pStyle w:val="1342"/>
              <w:jc w:val="center"/>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Тех</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r>
      <w:tr>
        <w:tblPrEx/>
        <w:trPr/>
        <w:tc>
          <w:tcPr>
            <w:gridSpan w:val="2"/>
            <w:tcW w:w="9918" w:type="dxa"/>
            <w:textDirection w:val="lrTb"/>
            <w:noWrap w:val="false"/>
          </w:tcPr>
          <w:p>
            <w:pPr>
              <w:pStyle w:val="1342"/>
              <w:keepNext/>
              <w:spacing w:before="60" w:after="60" w:line="240" w:lineRule="auto"/>
              <w:widowControl w:val="off"/>
              <w:rPr>
                <w:rFonts w:ascii="Times New Roman" w:hAnsi="Times New Roman" w:eastAsia="Calibri" w:cs="Arial"/>
                <w:sz w:val="26"/>
                <w:szCs w:val="22"/>
                <w:lang w:val="ru-RU" w:eastAsia="en-US" w:bidi="ar-SA"/>
              </w:rPr>
            </w:pPr>
            <w:r>
              <w:rPr>
                <w:rFonts w:eastAsia="Calibri" w:cs="Arial"/>
                <w:b/>
                <w:bCs/>
                <w:sz w:val="26"/>
                <w:szCs w:val="22"/>
                <w:lang w:val="ru-RU" w:eastAsia="en-US" w:bidi="ar-SA"/>
              </w:rPr>
              <w:t xml:space="preserve">Соответствие Коммерческого предложения Участника требованиям Документации о закупке, в том числе:</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3117" w:type="dxa"/>
            <w:textDirection w:val="lrTb"/>
            <w:noWrap w:val="false"/>
          </w:tcPr>
          <w:p>
            <w:pPr>
              <w:pStyle w:val="1342"/>
              <w:jc w:val="center"/>
              <w:spacing w:before="60" w:after="60" w:line="240" w:lineRule="auto"/>
              <w:widowControl w:val="off"/>
              <w:rPr>
                <w:rFonts w:ascii="Times New Roman" w:hAnsi="Times New Roman" w:eastAsia="Calibri" w:cs="Arial"/>
                <w:sz w:val="26"/>
                <w:szCs w:val="22"/>
                <w:lang w:val="ru-RU" w:eastAsia="en-US" w:bidi="ar-SA"/>
              </w:rPr>
            </w:pPr>
            <w:r>
              <w:rPr>
                <w:rFonts w:eastAsia="Calibri" w:cs="Arial"/>
                <w:b/>
                <w:bCs/>
                <w:sz w:val="26"/>
                <w:szCs w:val="22"/>
                <w:lang w:val="ru-RU" w:eastAsia="en-US" w:bidi="ar-SA"/>
              </w:rPr>
              <w:t xml:space="preserve">–</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2090" w:type="dxa"/>
            <w:textDirection w:val="lrTb"/>
            <w:noWrap w:val="false"/>
          </w:tcPr>
          <w:p>
            <w:pPr>
              <w:pStyle w:val="1342"/>
              <w:jc w:val="center"/>
              <w:spacing w:before="60" w:after="60" w:line="240" w:lineRule="auto"/>
              <w:widowControl w:val="off"/>
              <w:rPr>
                <w:rFonts w:ascii="Times New Roman" w:hAnsi="Times New Roman" w:eastAsia="Calibri" w:cs="Arial"/>
                <w:sz w:val="26"/>
                <w:szCs w:val="22"/>
                <w:lang w:val="ru-RU" w:eastAsia="en-US" w:bidi="ar-SA"/>
              </w:rPr>
            </w:pPr>
            <w:r>
              <w:rPr>
                <w:rFonts w:eastAsia="Calibri" w:cs="Arial"/>
                <w:b/>
                <w:bCs/>
                <w:sz w:val="26"/>
                <w:szCs w:val="22"/>
                <w:lang w:val="ru-RU" w:eastAsia="en-US" w:bidi="ar-SA"/>
              </w:rPr>
              <w:t xml:space="preserve">–</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r>
      <w:tr>
        <w:tblPrEx/>
        <w:trPr/>
        <w:tc>
          <w:tcPr>
            <w:tcW w:w="1412" w:type="dxa"/>
            <w:textDirection w:val="lrTb"/>
            <w:noWrap w:val="false"/>
          </w:tcPr>
          <w:p>
            <w:pPr>
              <w:pStyle w:val="1342"/>
              <w:numPr>
                <w:ilvl w:val="0"/>
                <w:numId w:val="7"/>
              </w:numPr>
              <w:ind w:left="170" w:firstLine="0"/>
              <w:jc w:val="center"/>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8506" w:type="dxa"/>
            <w:textDirection w:val="lrTb"/>
            <w:noWrap w:val="false"/>
          </w:tcPr>
          <w:p>
            <w:pPr>
              <w:pStyle w:val="1342"/>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С</w:t>
            </w:r>
            <w:r>
              <w:rPr>
                <w:rFonts w:eastAsia="Calibri" w:cs="Arial"/>
                <w:sz w:val="26"/>
                <w:szCs w:val="22"/>
                <w:lang w:val="ru-RU" w:eastAsia="en-US" w:bidi="ar-SA"/>
              </w:rPr>
              <w:t xml:space="preserve">оответствие Коммерческого предложения (проверка наличия в составе заявки всех необходимых документов, оценка правильности их оформления; проверка отсутствия противоречий представленных в составе Коммерческого предложения (и приложениях к нему) документах).</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3117" w:type="dxa"/>
            <w:textDirection w:val="lrTb"/>
            <w:noWrap w:val="false"/>
          </w:tcPr>
          <w:p>
            <w:pPr>
              <w:pStyle w:val="1342"/>
              <w:jc w:val="center"/>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подразделы </w:t>
            </w:r>
            <w:r>
              <w:rPr>
                <w:rFonts w:eastAsia="Calibri" w:cs="Arial"/>
                <w:sz w:val="26"/>
                <w:szCs w:val="22"/>
                <w:lang w:val="ru-RU" w:eastAsia="en-US" w:bidi="ar-SA"/>
              </w:rPr>
              <w:fldChar w:fldCharType="begin"/>
            </w:r>
            <w:r>
              <w:rPr>
                <w:rFonts w:eastAsia="Calibri" w:cs="Arial"/>
                <w:sz w:val="26"/>
                <w:szCs w:val="22"/>
                <w:lang w:val="ru-RU" w:eastAsia="en-US" w:bidi="ar-SA"/>
              </w:rPr>
              <w:instrText xml:space="preserve"> REF _Ref130394681 \r \h </w:instrText>
            </w:r>
            <w:r>
              <w:rPr>
                <w:rFonts w:eastAsia="Calibri" w:cs="Arial"/>
                <w:sz w:val="26"/>
                <w:szCs w:val="22"/>
                <w:lang w:val="ru-RU" w:eastAsia="en-US" w:bidi="ar-SA"/>
              </w:rPr>
              <w:fldChar w:fldCharType="separate"/>
            </w:r>
            <w:r>
              <w:rPr>
                <w:rFonts w:eastAsia="Calibri" w:cs="Arial"/>
                <w:sz w:val="26"/>
                <w:szCs w:val="22"/>
                <w:lang w:val="ru-RU" w:eastAsia="en-US" w:bidi="ar-SA"/>
              </w:rPr>
              <w:t xml:space="preserve">4.3</w:t>
            </w:r>
            <w:r>
              <w:rPr>
                <w:rFonts w:eastAsia="Calibri" w:cs="Arial"/>
                <w:sz w:val="26"/>
                <w:szCs w:val="22"/>
                <w:lang w:val="ru-RU" w:eastAsia="en-US" w:bidi="ar-SA"/>
              </w:rPr>
              <w:fldChar w:fldCharType="end"/>
            </w:r>
            <w:r>
              <w:rPr>
                <w:rFonts w:eastAsia="Calibri" w:cs="Arial"/>
                <w:sz w:val="26"/>
                <w:szCs w:val="22"/>
                <w:lang w:val="ru-RU" w:eastAsia="en-US" w:bidi="ar-SA"/>
              </w:rPr>
              <w:t xml:space="preserve">, </w:t>
            </w:r>
            <w:r>
              <w:rPr>
                <w:rFonts w:eastAsia="Calibri" w:cs="Arial"/>
                <w:sz w:val="26"/>
                <w:szCs w:val="22"/>
                <w:lang w:val="ru-RU" w:eastAsia="en-US" w:bidi="ar-SA"/>
              </w:rPr>
              <w:fldChar w:fldCharType="begin"/>
            </w:r>
            <w:r>
              <w:rPr>
                <w:rFonts w:eastAsia="Calibri" w:cs="Arial"/>
                <w:sz w:val="26"/>
                <w:szCs w:val="22"/>
                <w:lang w:val="ru-RU" w:eastAsia="en-US" w:bidi="ar-SA"/>
              </w:rPr>
              <w:instrText xml:space="preserve"> REF _Ref135749133 \r \h </w:instrText>
            </w:r>
            <w:r>
              <w:rPr>
                <w:rFonts w:eastAsia="Calibri" w:cs="Arial"/>
                <w:sz w:val="26"/>
                <w:szCs w:val="22"/>
                <w:lang w:val="ru-RU" w:eastAsia="en-US" w:bidi="ar-SA"/>
              </w:rPr>
              <w:fldChar w:fldCharType="separate"/>
            </w:r>
            <w:r>
              <w:rPr>
                <w:rFonts w:eastAsia="Calibri" w:cs="Arial"/>
                <w:sz w:val="26"/>
                <w:szCs w:val="22"/>
                <w:lang w:val="ru-RU" w:eastAsia="en-US" w:bidi="ar-SA"/>
              </w:rPr>
              <w:t xml:space="preserve">4.9</w:t>
            </w:r>
            <w:r>
              <w:rPr>
                <w:rFonts w:eastAsia="Calibri" w:cs="Arial"/>
                <w:sz w:val="26"/>
                <w:szCs w:val="22"/>
                <w:lang w:val="ru-RU" w:eastAsia="en-US" w:bidi="ar-SA"/>
              </w:rPr>
              <w:fldChar w:fldCharType="end"/>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p>
            <w:pPr>
              <w:pStyle w:val="1342"/>
              <w:jc w:val="center"/>
              <w:spacing w:before="60" w:after="60" w:line="240" w:lineRule="auto"/>
              <w:widowControl w:val="off"/>
            </w:pPr>
            <w:r>
              <w:rPr>
                <w:rFonts w:eastAsia="Calibri" w:cs="Arial"/>
                <w:sz w:val="26"/>
                <w:szCs w:val="22"/>
                <w:lang w:val="ru-RU" w:eastAsia="en-US" w:bidi="ar-SA"/>
              </w:rPr>
              <w:t xml:space="preserve">Приложение №1,</w:t>
              <w:br/>
            </w:r>
            <w:hyperlink w:tooltip="#Прил04_ФормыЗаявки" w:anchor="Прил04_ФормыЗаявки" w:history="1">
              <w:r>
                <w:rPr>
                  <w:rStyle w:val="1311"/>
                  <w:rFonts w:eastAsia="Calibri" w:cs="Arial"/>
                  <w:sz w:val="26"/>
                  <w:szCs w:val="22"/>
                  <w:lang w:val="ru-RU" w:eastAsia="en-US" w:bidi="ar-SA"/>
                </w:rPr>
                <w:t xml:space="preserve">Приложение № 4</w:t>
              </w:r>
            </w:hyperlink>
            <w:r/>
            <w:r/>
          </w:p>
        </w:tc>
        <w:tc>
          <w:tcPr>
            <w:tcW w:w="2090" w:type="dxa"/>
            <w:textDirection w:val="lrTb"/>
            <w:noWrap w:val="false"/>
          </w:tcPr>
          <w:p>
            <w:pPr>
              <w:pStyle w:val="1342"/>
              <w:jc w:val="center"/>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Цена</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r>
      <w:tr>
        <w:tblPrEx/>
        <w:trPr/>
        <w:tc>
          <w:tcPr>
            <w:tcW w:w="1412" w:type="dxa"/>
            <w:textDirection w:val="lrTb"/>
            <w:noWrap w:val="false"/>
          </w:tcPr>
          <w:p>
            <w:pPr>
              <w:pStyle w:val="1342"/>
              <w:numPr>
                <w:ilvl w:val="0"/>
                <w:numId w:val="7"/>
              </w:numPr>
              <w:ind w:left="170" w:firstLine="0"/>
              <w:jc w:val="center"/>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8506" w:type="dxa"/>
            <w:textDirection w:val="lrTb"/>
            <w:noWrap w:val="false"/>
          </w:tcPr>
          <w:p>
            <w:pPr>
              <w:pStyle w:val="1342"/>
              <w:spacing w:before="60" w:after="60" w:line="240" w:lineRule="auto"/>
              <w:widowControl w:val="off"/>
            </w:pPr>
            <w:r>
              <w:rPr>
                <w:rFonts w:eastAsia="Calibri" w:cs="Arial"/>
                <w:sz w:val="26"/>
                <w:szCs w:val="22"/>
                <w:lang w:val="ru-RU" w:eastAsia="en-US" w:bidi="ar-SA"/>
              </w:rPr>
              <w:t xml:space="preserve">Соответствие предложения установленным законодательством требованиям к предоставлению национального режима, в том числе в части указания сведений, которые подтверждают страну происхождения товара в составе заявке в форме Коммерческого предложения (</w:t>
            </w:r>
            <w:hyperlink w:tooltip="#Прил04_ФормыЗаявки" w:anchor="Прил04_ФормыЗаявки" w:history="1">
              <w:r>
                <w:rPr>
                  <w:rStyle w:val="1311"/>
                  <w:rFonts w:eastAsia="Calibri" w:cs="Arial"/>
                  <w:sz w:val="26"/>
                  <w:szCs w:val="22"/>
                  <w:lang w:val="ru-RU" w:eastAsia="en-US" w:bidi="ar-SA"/>
                </w:rPr>
                <w:t xml:space="preserve">Приложение № 4</w:t>
              </w:r>
            </w:hyperlink>
            <w:r>
              <w:rPr>
                <w:rFonts w:eastAsia="Calibri" w:cs="Arial"/>
                <w:sz w:val="26"/>
                <w:szCs w:val="22"/>
                <w:lang w:val="ru-RU" w:eastAsia="en-US" w:bidi="ar-SA"/>
              </w:rPr>
              <w:t xml:space="preserve">)</w:t>
            </w:r>
            <w:r/>
          </w:p>
          <w:p>
            <w:pPr>
              <w:pStyle w:val="1342"/>
              <w:spacing w:before="60" w:after="60" w:line="240" w:lineRule="auto"/>
              <w:widowControl w:val="off"/>
              <w:rPr>
                <w:rFonts w:ascii="Times New Roman" w:hAnsi="Times New Roman" w:eastAsia="Calibri" w:cs="Arial"/>
                <w:sz w:val="26"/>
                <w:szCs w:val="22"/>
                <w:lang w:val="ru-RU" w:eastAsia="en-US" w:bidi="ar-SA"/>
              </w:rPr>
            </w:pPr>
            <w:r>
              <w:rPr>
                <w:rFonts w:eastAsia="Calibri" w:cs="Arial"/>
                <w:i/>
                <w:iCs/>
                <w:sz w:val="26"/>
                <w:szCs w:val="22"/>
                <w:lang w:val="ru-RU" w:eastAsia="en-US" w:bidi="ar-SA"/>
              </w:rPr>
              <w:t xml:space="preserve">(пункт применяется только в случае установления режима запрета или ограничения закупки иностранной продукции, а также при исполнении Заказчиком норм в части минимальной обязательной доли закупок товаров российского происхождения (подраздел </w:t>
            </w:r>
            <w:r>
              <w:rPr>
                <w:rFonts w:eastAsia="Calibri" w:cs="Arial"/>
                <w:i/>
                <w:iCs/>
                <w:sz w:val="26"/>
                <w:szCs w:val="22"/>
                <w:lang w:val="ru-RU" w:eastAsia="en-US" w:bidi="ar-SA"/>
              </w:rPr>
              <w:fldChar w:fldCharType="begin"/>
            </w:r>
            <w:r>
              <w:rPr>
                <w:rFonts w:eastAsia="Calibri" w:cs="Arial"/>
                <w:i/>
                <w:iCs/>
                <w:sz w:val="26"/>
                <w:szCs w:val="22"/>
                <w:lang w:val="ru-RU" w:eastAsia="en-US" w:bidi="ar-SA"/>
              </w:rPr>
              <w:instrText xml:space="preserve"> REF _Ref130985951 \r \h </w:instrText>
            </w:r>
            <w:r>
              <w:rPr>
                <w:rFonts w:eastAsia="Calibri" w:cs="Arial"/>
                <w:i/>
                <w:iCs/>
                <w:sz w:val="26"/>
                <w:szCs w:val="22"/>
                <w:lang w:val="ru-RU" w:eastAsia="en-US" w:bidi="ar-SA"/>
              </w:rPr>
              <w:fldChar w:fldCharType="separate"/>
            </w:r>
            <w:r>
              <w:rPr>
                <w:rFonts w:eastAsia="Calibri" w:cs="Arial"/>
                <w:i/>
                <w:iCs/>
                <w:sz w:val="26"/>
                <w:szCs w:val="22"/>
                <w:lang w:val="ru-RU" w:eastAsia="en-US" w:bidi="ar-SA"/>
              </w:rPr>
              <w:t xml:space="preserve">4.13</w:t>
            </w:r>
            <w:r>
              <w:rPr>
                <w:rFonts w:eastAsia="Calibri" w:cs="Arial"/>
                <w:i/>
                <w:iCs/>
                <w:sz w:val="26"/>
                <w:szCs w:val="22"/>
                <w:lang w:val="ru-RU" w:eastAsia="en-US" w:bidi="ar-SA"/>
              </w:rPr>
              <w:fldChar w:fldCharType="end"/>
            </w:r>
            <w:r>
              <w:rPr>
                <w:rFonts w:eastAsia="Calibri" w:cs="Arial"/>
                <w:i/>
                <w:iCs/>
                <w:sz w:val="26"/>
                <w:szCs w:val="22"/>
                <w:lang w:val="ru-RU" w:eastAsia="en-US" w:bidi="ar-SA"/>
              </w:rPr>
              <w:t xml:space="preserve">))</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3117" w:type="dxa"/>
            <w:textDirection w:val="lrTb"/>
            <w:noWrap w:val="false"/>
          </w:tcPr>
          <w:p>
            <w:pPr>
              <w:pStyle w:val="1342"/>
              <w:jc w:val="center"/>
              <w:spacing w:before="60" w:after="60" w:line="240" w:lineRule="auto"/>
              <w:widowControl w:val="off"/>
            </w:pPr>
            <w:r>
              <w:rPr>
                <w:rFonts w:eastAsia="Calibri" w:cs="Arial"/>
                <w:sz w:val="26"/>
                <w:szCs w:val="22"/>
                <w:lang w:val="ru-RU" w:eastAsia="en-US" w:bidi="ar-SA"/>
              </w:rPr>
              <w:t xml:space="preserve">подразделы </w:t>
            </w:r>
            <w:r>
              <w:rPr>
                <w:rFonts w:eastAsia="Calibri" w:cs="Arial"/>
                <w:sz w:val="26"/>
                <w:szCs w:val="22"/>
                <w:lang w:val="ru-RU" w:eastAsia="en-US" w:bidi="ar-SA"/>
              </w:rPr>
              <w:fldChar w:fldCharType="begin"/>
            </w:r>
            <w:r>
              <w:rPr>
                <w:rFonts w:eastAsia="Calibri" w:cs="Arial"/>
                <w:sz w:val="26"/>
                <w:szCs w:val="22"/>
                <w:lang w:val="ru-RU" w:eastAsia="en-US" w:bidi="ar-SA"/>
              </w:rPr>
              <w:instrText xml:space="preserve"> REF _Ref130394681 \r \h </w:instrText>
            </w:r>
            <w:r>
              <w:rPr>
                <w:rFonts w:eastAsia="Calibri" w:cs="Arial"/>
                <w:sz w:val="26"/>
                <w:szCs w:val="22"/>
                <w:lang w:val="ru-RU" w:eastAsia="en-US" w:bidi="ar-SA"/>
              </w:rPr>
              <w:fldChar w:fldCharType="separate"/>
            </w:r>
            <w:r>
              <w:rPr>
                <w:rFonts w:eastAsia="Calibri" w:cs="Arial"/>
                <w:sz w:val="26"/>
                <w:szCs w:val="22"/>
                <w:lang w:val="ru-RU" w:eastAsia="en-US" w:bidi="ar-SA"/>
              </w:rPr>
              <w:t xml:space="preserve">4.3</w:t>
            </w:r>
            <w:r>
              <w:rPr>
                <w:rFonts w:eastAsia="Calibri" w:cs="Arial"/>
                <w:sz w:val="26"/>
                <w:szCs w:val="22"/>
                <w:lang w:val="ru-RU" w:eastAsia="en-US" w:bidi="ar-SA"/>
              </w:rPr>
              <w:fldChar w:fldCharType="end"/>
            </w:r>
            <w:r>
              <w:rPr>
                <w:rFonts w:eastAsia="Calibri" w:cs="Arial"/>
                <w:sz w:val="26"/>
                <w:szCs w:val="22"/>
                <w:lang w:val="ru-RU" w:eastAsia="en-US" w:bidi="ar-SA"/>
              </w:rPr>
              <w:t xml:space="preserve">, </w:t>
            </w:r>
            <w:r>
              <w:rPr>
                <w:rFonts w:eastAsia="Calibri" w:cs="Arial"/>
                <w:sz w:val="26"/>
                <w:szCs w:val="22"/>
                <w:lang w:val="ru-RU" w:eastAsia="en-US" w:bidi="ar-SA"/>
              </w:rPr>
              <w:fldChar w:fldCharType="begin"/>
            </w:r>
            <w:r>
              <w:rPr>
                <w:rFonts w:eastAsia="Calibri" w:cs="Arial"/>
                <w:sz w:val="26"/>
                <w:szCs w:val="22"/>
                <w:lang w:val="ru-RU" w:eastAsia="en-US" w:bidi="ar-SA"/>
              </w:rPr>
              <w:instrText xml:space="preserve"> REF _Ref130985951 \r \h </w:instrText>
            </w:r>
            <w:r>
              <w:rPr>
                <w:rFonts w:eastAsia="Calibri" w:cs="Arial"/>
                <w:sz w:val="26"/>
                <w:szCs w:val="22"/>
                <w:lang w:val="ru-RU" w:eastAsia="en-US" w:bidi="ar-SA"/>
              </w:rPr>
              <w:fldChar w:fldCharType="separate"/>
            </w:r>
            <w:r>
              <w:rPr>
                <w:rFonts w:eastAsia="Calibri" w:cs="Arial"/>
                <w:sz w:val="26"/>
                <w:szCs w:val="22"/>
                <w:lang w:val="ru-RU" w:eastAsia="en-US" w:bidi="ar-SA"/>
              </w:rPr>
              <w:t xml:space="preserve">4.13</w:t>
            </w:r>
            <w:r>
              <w:rPr>
                <w:rFonts w:eastAsia="Calibri" w:cs="Arial"/>
                <w:sz w:val="26"/>
                <w:szCs w:val="22"/>
                <w:lang w:val="ru-RU" w:eastAsia="en-US" w:bidi="ar-SA"/>
              </w:rPr>
              <w:fldChar w:fldCharType="end"/>
            </w:r>
            <w:r>
              <w:rPr>
                <w:rFonts w:eastAsia="Calibri" w:cs="Arial"/>
                <w:sz w:val="26"/>
                <w:szCs w:val="22"/>
                <w:lang w:val="ru-RU" w:eastAsia="en-US" w:bidi="ar-SA"/>
              </w:rPr>
              <w:br/>
            </w:r>
            <w:hyperlink w:tooltip="#Прил04_ФормыЗаявки" w:anchor="Прил04_ФормыЗаявки" w:history="1">
              <w:r>
                <w:rPr>
                  <w:rStyle w:val="1311"/>
                  <w:rFonts w:eastAsia="Calibri" w:cs="Arial"/>
                  <w:sz w:val="26"/>
                  <w:szCs w:val="22"/>
                  <w:lang w:val="ru-RU" w:eastAsia="en-US" w:bidi="ar-SA"/>
                </w:rPr>
                <w:t xml:space="preserve">Приложение № 4</w:t>
              </w:r>
            </w:hyperlink>
            <w:r>
              <w:rPr>
                <w:rFonts w:eastAsia="Calibri" w:cs="Arial"/>
                <w:sz w:val="26"/>
                <w:szCs w:val="22"/>
                <w:lang w:val="ru-RU" w:eastAsia="en-US" w:bidi="ar-SA"/>
              </w:rPr>
              <w:br/>
              <w:t xml:space="preserve">(форма Коммерческого предложения)</w:t>
            </w:r>
            <w:r/>
          </w:p>
        </w:tc>
        <w:tc>
          <w:tcPr>
            <w:tcW w:w="2090" w:type="dxa"/>
            <w:textDirection w:val="lrTb"/>
            <w:noWrap w:val="false"/>
          </w:tcPr>
          <w:p>
            <w:pPr>
              <w:pStyle w:val="1342"/>
              <w:jc w:val="center"/>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Тех</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r>
      <w:tr>
        <w:tblPrEx/>
        <w:trPr/>
        <w:tc>
          <w:tcPr>
            <w:tcW w:w="1412" w:type="dxa"/>
            <w:textDirection w:val="lrTb"/>
            <w:noWrap w:val="false"/>
          </w:tcPr>
          <w:p>
            <w:pPr>
              <w:pStyle w:val="1342"/>
              <w:numPr>
                <w:ilvl w:val="0"/>
                <w:numId w:val="7"/>
              </w:numPr>
              <w:ind w:left="170" w:firstLine="0"/>
              <w:jc w:val="center"/>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8506" w:type="dxa"/>
            <w:textDirection w:val="lrTb"/>
            <w:noWrap w:val="false"/>
          </w:tcPr>
          <w:p>
            <w:pPr>
              <w:pStyle w:val="1342"/>
              <w:spacing w:before="60" w:after="60" w:line="240" w:lineRule="auto"/>
              <w:widowControl w:val="off"/>
            </w:pPr>
            <w:r>
              <w:rPr>
                <w:rFonts w:eastAsia="Calibri" w:cs="Arial"/>
                <w:sz w:val="26"/>
                <w:szCs w:val="22"/>
                <w:lang w:val="ru-RU" w:eastAsia="en-US" w:bidi="ar-SA"/>
              </w:rPr>
              <w:t xml:space="preserve">Соответствие подтверждающей документации, прилагаемой к</w:t>
            </w:r>
            <w:r>
              <w:rPr>
                <w:rFonts w:eastAsia="Calibri" w:cs="Arial"/>
                <w:sz w:val="26"/>
                <w:szCs w:val="22"/>
                <w:lang w:val="en-US" w:eastAsia="en-US" w:bidi="ar-SA"/>
              </w:rPr>
              <w:t xml:space="preserve"> </w:t>
            </w:r>
            <w:r>
              <w:rPr>
                <w:rFonts w:eastAsia="Calibri" w:cs="Arial"/>
                <w:sz w:val="26"/>
                <w:szCs w:val="22"/>
                <w:lang w:val="ru-RU" w:eastAsia="en-US" w:bidi="ar-SA"/>
              </w:rPr>
              <w:t xml:space="preserve">Коммерческому приложению, требованиям, указанным в </w:t>
            </w:r>
            <w:hyperlink w:tooltip="#Прил01_ТехТребования" w:anchor="Прил01_ТехТребования" w:history="1">
              <w:r>
                <w:rPr>
                  <w:rStyle w:val="1311"/>
                  <w:rFonts w:eastAsia="Calibri" w:cs="Arial"/>
                  <w:sz w:val="26"/>
                  <w:szCs w:val="22"/>
                  <w:lang w:val="ru-RU" w:eastAsia="en-US" w:bidi="ar-SA"/>
                </w:rPr>
                <w:t xml:space="preserve">Технических требованиях (Приложение № 1)</w:t>
              </w:r>
            </w:hyperlink>
            <w:r/>
            <w:r/>
          </w:p>
          <w:p>
            <w:pPr>
              <w:pStyle w:val="1342"/>
              <w:spacing w:before="60" w:after="60" w:line="240" w:lineRule="auto"/>
              <w:widowControl w:val="off"/>
            </w:pPr>
            <w:r>
              <w:rPr>
                <w:rFonts w:eastAsia="Calibri" w:cs="Arial"/>
                <w:i/>
                <w:iCs/>
                <w:sz w:val="26"/>
                <w:szCs w:val="22"/>
                <w:lang w:val="ru-RU" w:eastAsia="en-US" w:bidi="ar-SA"/>
              </w:rPr>
              <w:t xml:space="preserve">(пункт применяется только в случае установления соответствующих требований в </w:t>
            </w:r>
            <w:hyperlink w:tooltip="#Прил01_ТехТребования" w:anchor="Прил01_ТехТребования" w:history="1">
              <w:r>
                <w:rPr>
                  <w:rStyle w:val="1311"/>
                  <w:rFonts w:eastAsia="Calibri" w:cs="Arial"/>
                  <w:i/>
                  <w:iCs/>
                  <w:sz w:val="26"/>
                  <w:szCs w:val="22"/>
                  <w:lang w:val="ru-RU" w:eastAsia="en-US" w:bidi="ar-SA"/>
                </w:rPr>
                <w:t xml:space="preserve">Технических требованиях (Приложение № 1)</w:t>
              </w:r>
            </w:hyperlink>
            <w:r>
              <w:rPr>
                <w:rFonts w:eastAsia="Calibri" w:cs="Arial"/>
                <w:i/>
                <w:iCs/>
                <w:sz w:val="26"/>
                <w:szCs w:val="22"/>
                <w:lang w:val="ru-RU" w:eastAsia="en-US" w:bidi="ar-SA"/>
              </w:rPr>
              <w:t xml:space="preserve">)</w:t>
            </w:r>
            <w:r/>
          </w:p>
        </w:tc>
        <w:tc>
          <w:tcPr>
            <w:tcW w:w="3117" w:type="dxa"/>
            <w:textDirection w:val="lrTb"/>
            <w:noWrap w:val="false"/>
          </w:tcPr>
          <w:p>
            <w:pPr>
              <w:pStyle w:val="1342"/>
              <w:jc w:val="center"/>
              <w:spacing w:before="60" w:after="60" w:line="240" w:lineRule="auto"/>
              <w:widowControl w:val="off"/>
            </w:pPr>
            <w:r/>
            <w:hyperlink w:tooltip="#Прил01_ТехТребования" w:anchor="Прил01_ТехТребования" w:history="1">
              <w:r>
                <w:rPr>
                  <w:rStyle w:val="1311"/>
                  <w:rFonts w:eastAsia="Calibri" w:cs="Arial"/>
                  <w:sz w:val="26"/>
                  <w:szCs w:val="22"/>
                  <w:lang w:val="ru-RU" w:eastAsia="en-US" w:bidi="ar-SA"/>
                </w:rPr>
                <w:t xml:space="preserve">Приложение № 1</w:t>
              </w:r>
            </w:hyperlink>
            <w:r/>
            <w:r/>
          </w:p>
        </w:tc>
        <w:tc>
          <w:tcPr>
            <w:tcW w:w="2090" w:type="dxa"/>
            <w:textDirection w:val="lrTb"/>
            <w:noWrap w:val="false"/>
          </w:tcPr>
          <w:p>
            <w:pPr>
              <w:pStyle w:val="1342"/>
              <w:jc w:val="center"/>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Цена</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r>
    </w:tbl>
    <w:p>
      <w:pPr>
        <w:pStyle w:val="1337"/>
        <w:rPr>
          <w:rStyle w:val="1304"/>
          <w:i w:val="0"/>
          <w:iCs w:val="0"/>
          <w:shd w:val="clear" w:color="auto" w:fill="auto"/>
        </w:rPr>
      </w:pPr>
      <w:r/>
      <w:bookmarkStart w:id="399" w:name="_Toc230928888"/>
      <w:r/>
      <w:bookmarkStart w:id="400" w:name="_Ref207284016"/>
      <w:r>
        <w:rPr>
          <w:rStyle w:val="1304"/>
          <w:i w:val="0"/>
          <w:iCs w:val="0"/>
          <w:shd w:val="clear" w:color="auto" w:fill="auto"/>
        </w:rPr>
        <w:t xml:space="preserve">Дополнительные критерии проверки заявок на соответствие условиям Документации о закупке</w:t>
      </w:r>
      <w:bookmarkEnd w:id="399"/>
      <w:r/>
      <w:bookmarkEnd w:id="400"/>
      <w:r>
        <w:rPr>
          <w:rStyle w:val="1304"/>
          <w:i w:val="0"/>
          <w:iCs w:val="0"/>
          <w:shd w:val="clear" w:color="auto" w:fill="auto"/>
        </w:rPr>
      </w:r>
      <w:r>
        <w:rPr>
          <w:rStyle w:val="1304"/>
          <w:i w:val="0"/>
          <w:iCs w:val="0"/>
          <w:shd w:val="clear" w:color="auto" w:fill="auto"/>
        </w:rPr>
      </w:r>
    </w:p>
    <w:p>
      <w:pPr>
        <w:pStyle w:val="1342"/>
        <w:keepNext/>
        <w:spacing w:before="120" w:after="120"/>
      </w:pPr>
      <w:r>
        <w:t xml:space="preserve">Несоответствие одному или всем дополнительным критериям не является основанием для отклонения заявки.</w:t>
      </w:r>
      <w:r/>
    </w:p>
    <w:tbl>
      <w:tblPr>
        <w:tblStyle w:val="1505"/>
        <w:tblW w:w="15126" w:type="dxa"/>
        <w:tblInd w:w="0" w:type="dxa"/>
        <w:tblLayout w:type="fixed"/>
        <w:tblCellMar>
          <w:left w:w="57" w:type="dxa"/>
          <w:top w:w="0" w:type="dxa"/>
          <w:right w:w="57" w:type="dxa"/>
          <w:bottom w:w="0" w:type="dxa"/>
        </w:tblCellMar>
        <w:tblLook w:val="04A0" w:firstRow="1" w:lastRow="0" w:firstColumn="1" w:lastColumn="0" w:noHBand="0" w:noVBand="1"/>
      </w:tblPr>
      <w:tblGrid>
        <w:gridCol w:w="1403"/>
        <w:gridCol w:w="8179"/>
        <w:gridCol w:w="3473"/>
        <w:gridCol w:w="2070"/>
      </w:tblGrid>
      <w:tr>
        <w:tblPrEx/>
        <w:trPr/>
        <w:tc>
          <w:tcPr>
            <w:tcW w:w="1403" w:type="dxa"/>
            <w:textDirection w:val="lrTb"/>
            <w:noWrap w:val="false"/>
          </w:tcPr>
          <w:p>
            <w:pPr>
              <w:pStyle w:val="1342"/>
              <w:jc w:val="center"/>
              <w:keepLines w:val="0"/>
              <w:keepNext/>
              <w:spacing w:before="60" w:after="60" w:line="240" w:lineRule="auto"/>
              <w:widowControl w:val="off"/>
              <w:rPr>
                <w:rFonts w:ascii="Times New Roman" w:hAnsi="Times New Roman" w:eastAsia="Calibri" w:cs="Arial"/>
                <w:b/>
                <w:sz w:val="26"/>
                <w:szCs w:val="22"/>
                <w:lang w:val="ru-RU" w:eastAsia="en-US" w:bidi="ar-SA"/>
              </w:rPr>
            </w:pPr>
            <w:r>
              <w:rPr>
                <w:rFonts w:eastAsia="Calibri" w:cs="Arial"/>
                <w:b/>
                <w:sz w:val="26"/>
                <w:szCs w:val="22"/>
                <w:lang w:val="ru-RU" w:eastAsia="en-US" w:bidi="ar-SA"/>
              </w:rPr>
              <w:t xml:space="preserve">Номер</w:t>
              <w:br/>
              <w:t xml:space="preserve">критерия</w:t>
            </w:r>
            <w:r>
              <w:rPr>
                <w:rFonts w:ascii="Times New Roman" w:hAnsi="Times New Roman" w:eastAsia="Calibri" w:cs="Arial"/>
                <w:b/>
                <w:sz w:val="26"/>
                <w:szCs w:val="22"/>
                <w:lang w:val="ru-RU" w:eastAsia="en-US" w:bidi="ar-SA"/>
              </w:rPr>
            </w:r>
            <w:r>
              <w:rPr>
                <w:rFonts w:ascii="Times New Roman" w:hAnsi="Times New Roman" w:eastAsia="Calibri" w:cs="Arial"/>
                <w:b/>
                <w:sz w:val="26"/>
                <w:szCs w:val="22"/>
                <w:lang w:val="ru-RU" w:eastAsia="en-US" w:bidi="ar-SA"/>
              </w:rPr>
            </w:r>
          </w:p>
        </w:tc>
        <w:tc>
          <w:tcPr>
            <w:tcW w:w="8179" w:type="dxa"/>
            <w:textDirection w:val="lrTb"/>
            <w:noWrap w:val="false"/>
          </w:tcPr>
          <w:p>
            <w:pPr>
              <w:pStyle w:val="1342"/>
              <w:jc w:val="center"/>
              <w:keepLines w:val="0"/>
              <w:keepNext/>
              <w:spacing w:before="60" w:after="60" w:line="240" w:lineRule="auto"/>
              <w:widowControl w:val="off"/>
              <w:rPr>
                <w:rFonts w:ascii="Times New Roman" w:hAnsi="Times New Roman" w:eastAsia="Calibri" w:cs="Arial"/>
                <w:b/>
                <w:sz w:val="26"/>
                <w:szCs w:val="22"/>
                <w:lang w:val="ru-RU" w:eastAsia="en-US" w:bidi="ar-SA"/>
              </w:rPr>
            </w:pPr>
            <w:r>
              <w:rPr>
                <w:rFonts w:eastAsia="Calibri" w:cs="Arial"/>
                <w:b/>
                <w:sz w:val="26"/>
                <w:szCs w:val="22"/>
                <w:lang w:val="ru-RU" w:eastAsia="en-US" w:bidi="ar-SA"/>
              </w:rPr>
              <w:t xml:space="preserve">Наименование</w:t>
              <w:br/>
              <w:t xml:space="preserve">критерия проверки</w:t>
            </w:r>
            <w:r>
              <w:rPr>
                <w:rFonts w:ascii="Times New Roman" w:hAnsi="Times New Roman" w:eastAsia="Calibri" w:cs="Arial"/>
                <w:b/>
                <w:sz w:val="26"/>
                <w:szCs w:val="22"/>
                <w:lang w:val="ru-RU" w:eastAsia="en-US" w:bidi="ar-SA"/>
              </w:rPr>
            </w:r>
            <w:r>
              <w:rPr>
                <w:rFonts w:ascii="Times New Roman" w:hAnsi="Times New Roman" w:eastAsia="Calibri" w:cs="Arial"/>
                <w:b/>
                <w:sz w:val="26"/>
                <w:szCs w:val="22"/>
                <w:lang w:val="ru-RU" w:eastAsia="en-US" w:bidi="ar-SA"/>
              </w:rPr>
            </w:r>
          </w:p>
        </w:tc>
        <w:tc>
          <w:tcPr>
            <w:tcW w:w="3473" w:type="dxa"/>
            <w:textDirection w:val="lrTb"/>
            <w:noWrap w:val="false"/>
          </w:tcPr>
          <w:p>
            <w:pPr>
              <w:pStyle w:val="1342"/>
              <w:jc w:val="center"/>
              <w:keepLines w:val="0"/>
              <w:keepNext/>
              <w:spacing w:before="60" w:after="60" w:line="240" w:lineRule="auto"/>
              <w:widowControl w:val="off"/>
              <w:rPr>
                <w:rFonts w:ascii="Times New Roman" w:hAnsi="Times New Roman" w:eastAsia="Calibri" w:cs="Arial"/>
                <w:b/>
                <w:sz w:val="26"/>
                <w:szCs w:val="22"/>
                <w:lang w:val="ru-RU" w:eastAsia="en-US" w:bidi="ar-SA"/>
              </w:rPr>
            </w:pPr>
            <w:r>
              <w:rPr>
                <w:rFonts w:eastAsia="Calibri" w:cs="Arial"/>
                <w:b/>
                <w:sz w:val="26"/>
                <w:szCs w:val="22"/>
                <w:lang w:val="ru-RU" w:eastAsia="en-US" w:bidi="ar-SA"/>
              </w:rPr>
              <w:t xml:space="preserve">Номер пункта</w:t>
              <w:br/>
              <w:t xml:space="preserve">Документации о закупке</w:t>
            </w:r>
            <w:r>
              <w:rPr>
                <w:rFonts w:ascii="Times New Roman" w:hAnsi="Times New Roman" w:eastAsia="Calibri" w:cs="Arial"/>
                <w:b/>
                <w:sz w:val="26"/>
                <w:szCs w:val="22"/>
                <w:lang w:val="ru-RU" w:eastAsia="en-US" w:bidi="ar-SA"/>
              </w:rPr>
            </w:r>
            <w:r>
              <w:rPr>
                <w:rFonts w:ascii="Times New Roman" w:hAnsi="Times New Roman" w:eastAsia="Calibri" w:cs="Arial"/>
                <w:b/>
                <w:sz w:val="26"/>
                <w:szCs w:val="22"/>
                <w:lang w:val="ru-RU" w:eastAsia="en-US" w:bidi="ar-SA"/>
              </w:rPr>
            </w:r>
          </w:p>
        </w:tc>
        <w:tc>
          <w:tcPr>
            <w:tcW w:w="2070" w:type="dxa"/>
            <w:textDirection w:val="lrTb"/>
            <w:noWrap w:val="false"/>
          </w:tcPr>
          <w:p>
            <w:pPr>
              <w:pStyle w:val="1342"/>
              <w:jc w:val="center"/>
              <w:keepLines w:val="0"/>
              <w:keepNext/>
              <w:spacing w:before="60" w:after="60" w:line="240" w:lineRule="auto"/>
              <w:widowControl w:val="off"/>
              <w:rPr>
                <w:rFonts w:ascii="Times New Roman" w:hAnsi="Times New Roman" w:eastAsia="Calibri" w:cs="Arial"/>
                <w:b/>
                <w:sz w:val="26"/>
                <w:szCs w:val="22"/>
                <w:lang w:val="ru-RU" w:eastAsia="en-US" w:bidi="ar-SA"/>
              </w:rPr>
            </w:pPr>
            <w:r>
              <w:rPr>
                <w:rFonts w:eastAsia="Calibri" w:cs="Arial"/>
                <w:b/>
                <w:sz w:val="26"/>
                <w:szCs w:val="22"/>
                <w:lang w:val="ru-RU" w:eastAsia="en-US" w:bidi="ar-SA"/>
              </w:rPr>
              <w:t xml:space="preserve">Направления</w:t>
              <w:br/>
              <w:t xml:space="preserve">оценки заявок*</w:t>
            </w:r>
            <w:r>
              <w:rPr>
                <w:rFonts w:ascii="Times New Roman" w:hAnsi="Times New Roman" w:eastAsia="Calibri" w:cs="Arial"/>
                <w:b/>
                <w:sz w:val="26"/>
                <w:szCs w:val="22"/>
                <w:lang w:val="ru-RU" w:eastAsia="en-US" w:bidi="ar-SA"/>
              </w:rPr>
            </w:r>
            <w:r>
              <w:rPr>
                <w:rFonts w:ascii="Times New Roman" w:hAnsi="Times New Roman" w:eastAsia="Calibri" w:cs="Arial"/>
                <w:b/>
                <w:sz w:val="26"/>
                <w:szCs w:val="22"/>
                <w:lang w:val="ru-RU" w:eastAsia="en-US" w:bidi="ar-SA"/>
              </w:rPr>
            </w:r>
          </w:p>
        </w:tc>
      </w:tr>
      <w:tr>
        <w:tblPrEx/>
        <w:trPr/>
        <w:tc>
          <w:tcPr>
            <w:tcW w:w="1403" w:type="dxa"/>
            <w:textDirection w:val="lrTb"/>
            <w:noWrap w:val="false"/>
          </w:tcPr>
          <w:p>
            <w:pPr>
              <w:pStyle w:val="1342"/>
              <w:numPr>
                <w:ilvl w:val="0"/>
                <w:numId w:val="13"/>
              </w:numPr>
              <w:ind w:left="170" w:firstLine="0"/>
              <w:jc w:val="center"/>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8179" w:type="dxa"/>
            <w:textDirection w:val="lrTb"/>
            <w:noWrap w:val="false"/>
          </w:tcPr>
          <w:p>
            <w:pPr>
              <w:pStyle w:val="1342"/>
              <w:spacing w:before="60" w:after="60" w:line="240" w:lineRule="auto"/>
              <w:widowControl w:val="off"/>
              <w:rPr>
                <w:rFonts w:ascii="Times New Roman" w:hAnsi="Times New Roman" w:eastAsia="Calibri" w:cs="Arial"/>
                <w:sz w:val="26"/>
                <w:szCs w:val="22"/>
                <w:lang w:val="ru-RU" w:eastAsia="en-US" w:bidi="ar-SA"/>
              </w:rPr>
            </w:pPr>
            <w:r>
              <w:rPr>
                <w:rFonts w:eastAsia="Calibri" w:cs="Arial"/>
                <w:sz w:val="26"/>
                <w:szCs w:val="22"/>
                <w:lang w:val="ru-RU" w:eastAsia="en-US" w:bidi="ar-SA"/>
              </w:rPr>
              <w:t xml:space="preserve">Возможность применения преимущества, если в подразделе </w:t>
            </w:r>
            <w:r>
              <w:rPr>
                <w:rFonts w:eastAsia="Calibri" w:cs="Arial"/>
                <w:sz w:val="26"/>
                <w:szCs w:val="22"/>
                <w:lang w:val="ru-RU" w:eastAsia="en-US" w:bidi="ar-SA"/>
              </w:rPr>
              <w:fldChar w:fldCharType="begin"/>
            </w:r>
            <w:r>
              <w:rPr>
                <w:rFonts w:eastAsia="Calibri" w:cs="Arial"/>
                <w:sz w:val="26"/>
                <w:szCs w:val="22"/>
                <w:lang w:val="ru-RU" w:eastAsia="en-US" w:bidi="ar-SA"/>
              </w:rPr>
              <w:instrText xml:space="preserve"> REF _Ref125359973 \r \h </w:instrText>
            </w:r>
            <w:r>
              <w:rPr>
                <w:rFonts w:eastAsia="Calibri" w:cs="Arial"/>
                <w:sz w:val="26"/>
                <w:szCs w:val="22"/>
                <w:lang w:val="ru-RU" w:eastAsia="en-US" w:bidi="ar-SA"/>
              </w:rPr>
              <w:fldChar w:fldCharType="separate"/>
            </w:r>
            <w:r>
              <w:rPr>
                <w:rFonts w:eastAsia="Calibri" w:cs="Arial"/>
                <w:sz w:val="26"/>
                <w:szCs w:val="22"/>
                <w:lang w:val="ru-RU" w:eastAsia="en-US" w:bidi="ar-SA"/>
              </w:rPr>
              <w:t xml:space="preserve">1.2</w:t>
            </w:r>
            <w:r>
              <w:rPr>
                <w:rFonts w:eastAsia="Calibri" w:cs="Arial"/>
                <w:sz w:val="26"/>
                <w:szCs w:val="22"/>
                <w:lang w:val="ru-RU" w:eastAsia="en-US" w:bidi="ar-SA"/>
              </w:rPr>
              <w:fldChar w:fldCharType="end"/>
            </w:r>
            <w:r>
              <w:rPr>
                <w:rFonts w:eastAsia="Calibri" w:cs="Arial"/>
                <w:sz w:val="26"/>
                <w:szCs w:val="22"/>
                <w:lang w:val="ru-RU" w:eastAsia="en-US" w:bidi="ar-SA"/>
              </w:rPr>
              <w:t xml:space="preserve"> установлен режим преимущества российской продукции, в отношении заявки с российской продукцией (на поставку товара российского происхождения (в том числе поставляемого при выполнении работ, оказании услуг))</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p>
            <w:pPr>
              <w:pStyle w:val="1342"/>
              <w:spacing w:before="60" w:after="60" w:line="240" w:lineRule="auto"/>
              <w:widowControl w:val="off"/>
              <w:rPr>
                <w:rFonts w:ascii="Times New Roman" w:hAnsi="Times New Roman" w:eastAsia="Calibri" w:cs="Arial"/>
                <w:sz w:val="26"/>
                <w:szCs w:val="22"/>
                <w:lang w:val="ru-RU" w:eastAsia="en-US" w:bidi="ar-SA"/>
              </w:rPr>
            </w:pPr>
            <w:r>
              <w:rPr>
                <w:rFonts w:eastAsia="Calibri" w:cs="Arial"/>
                <w:i/>
                <w:iCs/>
                <w:sz w:val="26"/>
                <w:szCs w:val="22"/>
                <w:lang w:val="ru-RU" w:eastAsia="en-US" w:bidi="ar-SA"/>
              </w:rPr>
              <w:t xml:space="preserve">(пункт применяется только в случае установления режима преимущества российской продукции (подраздел </w:t>
            </w:r>
            <w:r>
              <w:rPr>
                <w:rFonts w:eastAsia="Calibri" w:cs="Arial"/>
                <w:i/>
                <w:iCs/>
                <w:sz w:val="26"/>
                <w:szCs w:val="22"/>
                <w:lang w:val="ru-RU" w:eastAsia="en-US" w:bidi="ar-SA"/>
              </w:rPr>
              <w:fldChar w:fldCharType="begin"/>
            </w:r>
            <w:r>
              <w:rPr>
                <w:rFonts w:eastAsia="Calibri" w:cs="Arial"/>
                <w:i/>
                <w:iCs/>
                <w:sz w:val="26"/>
                <w:szCs w:val="22"/>
                <w:lang w:val="ru-RU" w:eastAsia="en-US" w:bidi="ar-SA"/>
              </w:rPr>
              <w:instrText xml:space="preserve"> REF _Ref130985951 \r \h </w:instrText>
            </w:r>
            <w:r>
              <w:rPr>
                <w:rFonts w:eastAsia="Calibri" w:cs="Arial"/>
                <w:i/>
                <w:iCs/>
                <w:sz w:val="26"/>
                <w:szCs w:val="22"/>
                <w:lang w:val="ru-RU" w:eastAsia="en-US" w:bidi="ar-SA"/>
              </w:rPr>
              <w:fldChar w:fldCharType="separate"/>
            </w:r>
            <w:r>
              <w:rPr>
                <w:rFonts w:eastAsia="Calibri" w:cs="Arial"/>
                <w:i/>
                <w:iCs/>
                <w:sz w:val="26"/>
                <w:szCs w:val="22"/>
                <w:lang w:val="ru-RU" w:eastAsia="en-US" w:bidi="ar-SA"/>
              </w:rPr>
              <w:t xml:space="preserve">4.13</w:t>
            </w:r>
            <w:r>
              <w:rPr>
                <w:rFonts w:eastAsia="Calibri" w:cs="Arial"/>
                <w:i/>
                <w:iCs/>
                <w:sz w:val="26"/>
                <w:szCs w:val="22"/>
                <w:lang w:val="ru-RU" w:eastAsia="en-US" w:bidi="ar-SA"/>
              </w:rPr>
              <w:fldChar w:fldCharType="end"/>
            </w:r>
            <w:r>
              <w:rPr>
                <w:rFonts w:eastAsia="Calibri" w:cs="Arial"/>
                <w:i/>
                <w:iCs/>
                <w:sz w:val="26"/>
                <w:szCs w:val="22"/>
                <w:lang w:val="ru-RU" w:eastAsia="en-US" w:bidi="ar-SA"/>
              </w:rPr>
              <w:t xml:space="preserve">))</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3473" w:type="dxa"/>
            <w:textDirection w:val="lrTb"/>
            <w:noWrap w:val="false"/>
          </w:tcPr>
          <w:p>
            <w:pPr>
              <w:pStyle w:val="1342"/>
              <w:jc w:val="center"/>
              <w:spacing w:before="60" w:after="60" w:line="240" w:lineRule="auto"/>
              <w:widowControl w:val="off"/>
              <w:rPr>
                <w:rFonts w:ascii="Times New Roman" w:hAnsi="Times New Roman" w:eastAsia="Calibri" w:cs="Arial"/>
                <w:sz w:val="26"/>
                <w:szCs w:val="22"/>
                <w:lang w:val="ru-RU" w:eastAsia="en-US" w:bidi="ar-SA"/>
              </w:rPr>
            </w:pPr>
            <w:r>
              <w:rPr>
                <w:rFonts w:eastAsia="Calibri" w:cs="Arial"/>
                <w:bCs/>
                <w:sz w:val="26"/>
                <w:szCs w:val="22"/>
                <w:lang w:val="ru-RU" w:eastAsia="en-US" w:bidi="ar-SA"/>
              </w:rPr>
              <w:t xml:space="preserve">подраздел </w:t>
            </w:r>
            <w:r>
              <w:rPr>
                <w:rFonts w:eastAsia="Calibri" w:cs="Arial"/>
                <w:sz w:val="26"/>
                <w:szCs w:val="22"/>
                <w:lang w:val="ru-RU" w:eastAsia="en-US" w:bidi="ar-SA"/>
              </w:rPr>
              <w:fldChar w:fldCharType="begin"/>
            </w:r>
            <w:r>
              <w:rPr>
                <w:rFonts w:eastAsia="Calibri" w:cs="Arial"/>
                <w:sz w:val="26"/>
                <w:szCs w:val="22"/>
                <w:lang w:val="ru-RU" w:eastAsia="en-US" w:bidi="ar-SA"/>
              </w:rPr>
              <w:instrText xml:space="preserve"> REF _Ref130985951 \r \h </w:instrText>
            </w:r>
            <w:r>
              <w:rPr>
                <w:rFonts w:eastAsia="Calibri" w:cs="Arial"/>
                <w:sz w:val="26"/>
                <w:szCs w:val="22"/>
                <w:lang w:val="ru-RU" w:eastAsia="en-US" w:bidi="ar-SA"/>
              </w:rPr>
              <w:fldChar w:fldCharType="separate"/>
            </w:r>
            <w:r>
              <w:rPr>
                <w:rFonts w:eastAsia="Calibri" w:cs="Arial"/>
                <w:sz w:val="26"/>
                <w:szCs w:val="22"/>
                <w:lang w:val="ru-RU" w:eastAsia="en-US" w:bidi="ar-SA"/>
              </w:rPr>
              <w:t xml:space="preserve">4.13</w:t>
            </w:r>
            <w:r>
              <w:rPr>
                <w:rFonts w:eastAsia="Calibri" w:cs="Arial"/>
                <w:sz w:val="26"/>
                <w:szCs w:val="22"/>
                <w:lang w:val="ru-RU" w:eastAsia="en-US" w:bidi="ar-SA"/>
              </w:rPr>
              <w:fldChar w:fldCharType="end"/>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c>
          <w:tcPr>
            <w:tcW w:w="2070" w:type="dxa"/>
            <w:textDirection w:val="lrTb"/>
            <w:noWrap w:val="false"/>
          </w:tcPr>
          <w:p>
            <w:pPr>
              <w:pStyle w:val="1342"/>
              <w:jc w:val="center"/>
              <w:spacing w:before="60" w:after="60" w:line="240" w:lineRule="auto"/>
              <w:widowControl w:val="off"/>
              <w:rPr>
                <w:rFonts w:ascii="Times New Roman" w:hAnsi="Times New Roman" w:eastAsia="Calibri" w:cs="Arial"/>
                <w:sz w:val="26"/>
                <w:szCs w:val="22"/>
                <w:lang w:val="ru-RU" w:eastAsia="en-US" w:bidi="ar-SA"/>
              </w:rPr>
            </w:pPr>
            <w:r>
              <w:rPr>
                <w:rFonts w:eastAsia="Calibri" w:cs="Arial"/>
                <w:bCs/>
                <w:sz w:val="26"/>
                <w:szCs w:val="22"/>
                <w:lang w:val="ru-RU" w:eastAsia="en-US" w:bidi="ar-SA"/>
              </w:rPr>
              <w:t xml:space="preserve">Тех</w:t>
            </w:r>
            <w:r>
              <w:rPr>
                <w:rFonts w:ascii="Times New Roman" w:hAnsi="Times New Roman" w:eastAsia="Calibri" w:cs="Arial"/>
                <w:sz w:val="26"/>
                <w:szCs w:val="22"/>
                <w:lang w:val="ru-RU" w:eastAsia="en-US" w:bidi="ar-SA"/>
              </w:rPr>
            </w:r>
            <w:r>
              <w:rPr>
                <w:rFonts w:ascii="Times New Roman" w:hAnsi="Times New Roman" w:eastAsia="Calibri" w:cs="Arial"/>
                <w:sz w:val="26"/>
                <w:szCs w:val="22"/>
                <w:lang w:val="ru-RU" w:eastAsia="en-US" w:bidi="ar-SA"/>
              </w:rPr>
            </w:r>
          </w:p>
        </w:tc>
      </w:tr>
    </w:tbl>
    <w:p>
      <w:pPr>
        <w:pStyle w:val="1342"/>
        <w:keepNext/>
        <w:spacing w:before="240" w:after="0"/>
        <w:tabs>
          <w:tab w:val="clear" w:pos="708" w:leader="none"/>
          <w:tab w:val="left" w:pos="851" w:leader="none"/>
        </w:tabs>
        <w:rPr>
          <w:b/>
          <w:bCs/>
        </w:rPr>
      </w:pPr>
      <w:r>
        <w:rPr>
          <w:b/>
          <w:bCs/>
        </w:rPr>
        <w:t xml:space="preserve">* Направления оценки заявок:</w:t>
      </w:r>
      <w:r>
        <w:rPr>
          <w:b/>
          <w:bCs/>
        </w:rPr>
      </w:r>
      <w:r>
        <w:rPr>
          <w:b/>
          <w:bCs/>
        </w:rPr>
      </w:r>
    </w:p>
    <w:p>
      <w:pPr>
        <w:pStyle w:val="1342"/>
        <w:ind w:left="1701" w:hanging="1701"/>
        <w:tabs>
          <w:tab w:val="clear" w:pos="708" w:leader="none"/>
          <w:tab w:val="left" w:pos="1134" w:leader="none"/>
        </w:tabs>
      </w:pPr>
      <w:r>
        <w:rPr>
          <w:b/>
          <w:bCs/>
        </w:rPr>
        <w:t xml:space="preserve">Орг</w:t>
      </w:r>
      <w:r>
        <w:tab/>
        <w:t xml:space="preserve">–</w:t>
        <w:tab/>
      </w:r>
      <w:bookmarkStart w:id="401" w:name="_Hlk138342484"/>
      <w:r>
        <w:t xml:space="preserve">проверка наличия в составе заявки необходимых документов для рассмотрения экспертом по своему направлению: проверка наличия в составе заявке и оценка правильности оформления Письма о подаче оферты</w:t>
      </w:r>
      <w:bookmarkEnd w:id="401"/>
      <w:r>
        <w:t xml:space="preserve">; </w:t>
      </w:r>
      <w:bookmarkStart w:id="402" w:name="_Hlk138342546"/>
      <w:r>
        <w:t xml:space="preserve">наличия обеспечения обязательств Участника, связанного с подач</w:t>
      </w:r>
      <w:r>
        <w:t xml:space="preserve">ей заявки, в виде банковской гарантии (в том числе наличие сведений о ней в соответствующем реестре в ЕИС) – в случае отсутствия внесенных Участником денежных средств на индивидуальный счет, открытый Участнику Оператором ЭП в соответствии с Регламентом ЭП </w:t>
      </w:r>
      <w:r>
        <w:rPr>
          <w:i/>
          <w:iCs/>
        </w:rPr>
        <w:t xml:space="preserve">(последние применяется только в случае установления соответствующих требований)</w:t>
      </w:r>
      <w:r>
        <w:t xml:space="preserve">; наличие у Участника статуса «аккредитован», либо статуса «аккредитация не требуется» (или наличие заявки на аккредитацию (при необходимости))</w:t>
      </w:r>
      <w:bookmarkEnd w:id="402"/>
      <w:r>
        <w:t xml:space="preserve">, участвует в процедуре актуализ</w:t>
      </w:r>
      <w:r>
        <w:t xml:space="preserve">ации статуса аккредитации (при необходимости); проверка отсутствие сведений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w:t>
      </w:r>
      <w:r>
        <w:t xml:space="preserve"> № 851; при установлении требования об обязательном привлечении к исполнению Договора субподрядчиков (соисполнителей) из числа субъектов МСП – проверка субподрядчиков (соисполнителей), указанных Участником в Плане распределения поставки продукции, на налич</w:t>
      </w:r>
      <w:r>
        <w:t xml:space="preserve">ие информации о таком субподрядчике (соисполнителе) в Реестре МСП (https://rmsp.nalog.ru/index.html),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w:t>
      </w:r>
      <w:bookmarkStart w:id="403" w:name="_Hlk138342572"/>
      <w:r>
        <w:t xml:space="preserve">–</w:t>
      </w:r>
      <w:bookmarkEnd w:id="403"/>
      <w:r>
        <w:t xml:space="preserve">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 (https://npd.nalog.ru/check-status/);</w:t>
      </w:r>
      <w:r/>
    </w:p>
    <w:p>
      <w:pPr>
        <w:pStyle w:val="1342"/>
        <w:ind w:left="1701" w:hanging="1701"/>
        <w:tabs>
          <w:tab w:val="clear" w:pos="708" w:leader="none"/>
          <w:tab w:val="left" w:pos="1134" w:leader="none"/>
        </w:tabs>
      </w:pPr>
      <w:r>
        <w:rPr>
          <w:b/>
          <w:bCs/>
        </w:rPr>
        <w:t xml:space="preserve">Тех</w:t>
      </w:r>
      <w:r>
        <w:tab/>
        <w:t xml:space="preserve">–</w:t>
        <w:tab/>
        <w:t xml:space="preserve">проверка наличия в составе заявки всех необходимых документов для рассмотрения экспертом по своему направлению, а также правильности их оформле</w:t>
      </w:r>
      <w:r>
        <w:t xml:space="preserve">ния; в целях применения законодательства о национальном режиме: а) при закупке товаров (в том числе поставляемых при выполнении работ, оказании услуг) – оценка сведений о стране происхождения предлагаемого к поставке товара; б) при закупке работ, услуг – о</w:t>
      </w:r>
      <w:r>
        <w:t xml:space="preserve">ценка сведений о стране регистрации Участника (стране регистрации лица, согласно заявке выполняющего работу, оказывающего услугу); оценка Технических предложений и сведений, подтверждающих соответствия Участника квалификационным и специальным требованиям; </w:t>
      </w:r>
      <w:bookmarkStart w:id="404" w:name="_Hlk138342998"/>
      <w:r>
        <w:t xml:space="preserve">проверка технической части подтверждающей документации, прилагаемой к Коммерческому предложению (при наличии), а также, при необходимости, технических условий исполнения Договора</w:t>
      </w:r>
      <w:bookmarkEnd w:id="404"/>
      <w:r>
        <w:t xml:space="preserve">;</w:t>
      </w:r>
      <w:r/>
    </w:p>
    <w:p>
      <w:pPr>
        <w:pStyle w:val="1342"/>
        <w:ind w:left="1701" w:hanging="1701"/>
        <w:tabs>
          <w:tab w:val="clear" w:pos="708" w:leader="none"/>
          <w:tab w:val="left" w:pos="1134" w:leader="none"/>
        </w:tabs>
      </w:pPr>
      <w:r>
        <w:rPr>
          <w:b/>
          <w:bCs/>
        </w:rPr>
        <w:t xml:space="preserve">Юр</w:t>
      </w:r>
      <w:r>
        <w:tab/>
        <w:t xml:space="preserve">–</w:t>
        <w:tab/>
        <w:t xml:space="preserve">проверка наличия в составе заявки всех необходимых документов для рассмотрения экспертом по своему направлению, а также оценка правильности их оформления (в т.ч. в части наличия должных печатей, подписей, формы заверения</w:t>
      </w:r>
      <w:r>
        <w:t xml:space="preserve">, языка заявки); оценка юридических аспектов заявки, в том числе оценка правомочности подписанта доверенности (при необходимости) на основании выписки из ЕГРЮЛ (выписка из ЕГРЮЛ доступна на официальном сервисе ФНС России https://egrul.nalog.ru/index.html);</w:t>
      </w:r>
      <w:r/>
    </w:p>
    <w:p>
      <w:pPr>
        <w:pStyle w:val="1342"/>
        <w:ind w:left="1701" w:hanging="1701"/>
        <w:keepNext/>
        <w:tabs>
          <w:tab w:val="clear" w:pos="708" w:leader="none"/>
          <w:tab w:val="left" w:pos="1134" w:leader="none"/>
        </w:tabs>
      </w:pPr>
      <w:r>
        <w:rPr>
          <w:b/>
          <w:bCs/>
        </w:rPr>
        <w:t xml:space="preserve">Цена</w:t>
      </w:r>
      <w:r>
        <w:tab/>
        <w:t xml:space="preserve">–</w:t>
        <w:tab/>
        <w:t xml:space="preserve">проверка наличия в составе заявки всех необходимых документов для рассмотрения экспертом по своему направлению, а также оценка правильности их оформления (в т.ч. в </w:t>
      </w:r>
      <w:r>
        <w:t xml:space="preserve">части языка и валюты заявки); проверка отсутствия противоречий в представленных в составе Коммерческого предложения (и приложениях к нему) документах; проверка соответствия подтверждающей документации (документации по ценообразованию), прилагаемой к Коммер</w:t>
      </w:r>
      <w:r>
        <w:t xml:space="preserve">ческому приложению, требованиям, указанным в Технических требованиях (при наличии такой документации и если ее предоставление требовалось в Документации о закупке), в том числе в части непревышения ценового предложения участника установленного размера НМЦ;</w:t>
      </w:r>
      <w:r/>
    </w:p>
    <w:p>
      <w:pPr>
        <w:pStyle w:val="1342"/>
        <w:ind w:left="1701" w:hanging="1701"/>
        <w:tabs>
          <w:tab w:val="clear" w:pos="708" w:leader="none"/>
          <w:tab w:val="left" w:pos="1134" w:leader="none"/>
        </w:tabs>
      </w:pPr>
      <w:r>
        <w:rPr>
          <w:b/>
          <w:bCs/>
        </w:rPr>
        <w:t xml:space="preserve">Фин</w:t>
      </w:r>
      <w:r>
        <w:tab/>
        <w:t xml:space="preserve">–</w:t>
        <w:tab/>
        <w:t xml:space="preserve">оценка банковской гарантии, в том числе правильность оформления рассматриваемых документов (в т.ч. в части наличия должных печатей, подписей, формы заверения, языка и валюты заявки) </w:t>
      </w:r>
      <w:r>
        <w:rPr>
          <w:i/>
          <w:iCs/>
        </w:rPr>
        <w:t xml:space="preserve">(финансовая экспертиза проводится по инициативе эксперта по направлениям Орг, в случае наличия в заявке банковской гарантии)</w:t>
      </w:r>
      <w:r>
        <w:t xml:space="preserve">.</w:t>
      </w:r>
      <w:r/>
    </w:p>
    <w:p>
      <w:pPr>
        <w:pStyle w:val="1342"/>
        <w:ind w:left="1701" w:hanging="1701"/>
        <w:keepNext/>
        <w:tabs>
          <w:tab w:val="clear" w:pos="708" w:leader="none"/>
          <w:tab w:val="left" w:pos="1134" w:leader="none"/>
        </w:tabs>
      </w:pPr>
      <w:r/>
      <w:r/>
    </w:p>
    <w:p>
      <w:pPr>
        <w:pStyle w:val="1342"/>
        <w:sectPr>
          <w:headerReference w:type="default" r:id="rId18"/>
          <w:headerReference w:type="first" r:id="rId19"/>
          <w:footerReference w:type="default" r:id="rId33"/>
          <w:footerReference w:type="first" r:id="rId34"/>
          <w:footnotePr>
            <w:numFmt w:val="decimal"/>
          </w:footnotePr>
          <w:endnotePr/>
          <w:type w:val="nextPage"/>
          <w:pgSz w:w="16838" w:h="11906" w:orient="landscape"/>
          <w:pgMar w:top="1134" w:right="851" w:bottom="850" w:left="851" w:header="567" w:footer="567" w:gutter="0"/>
          <w:cols w:num="1" w:sep="0" w:space="1701" w:equalWidth="1"/>
          <w:docGrid w:linePitch="360"/>
        </w:sectPr>
      </w:pPr>
      <w:r>
        <w:t xml:space="preserve">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материалов (документов), являющихся предметом его экспертизы).</w:t>
      </w:r>
      <w:r/>
    </w:p>
    <w:p>
      <w:pPr>
        <w:pStyle w:val="1336"/>
        <w:spacing w:before="0" w:after="0"/>
      </w:pPr>
      <w:r/>
      <w:bookmarkStart w:id="405" w:name="_Toc230928889"/>
      <w:r/>
      <w:bookmarkStart w:id="406" w:name="_Ref125369438"/>
      <w:r/>
      <w:bookmarkStart w:id="407" w:name="_Ref125369021"/>
      <w:r/>
      <w:bookmarkStart w:id="408" w:name="_Ref125368331"/>
      <w:r/>
      <w:bookmarkStart w:id="409" w:name="_Ref125368313"/>
      <w:r/>
      <w:bookmarkStart w:id="410" w:name="_Ref125368302"/>
      <w:r/>
      <w:bookmarkStart w:id="411" w:name="_Ref125368291"/>
      <w:r/>
      <w:bookmarkStart w:id="412" w:name="_Ref125368283"/>
      <w:r/>
      <w:bookmarkStart w:id="413" w:name="_Ref125368184"/>
      <w:r/>
      <w:bookmarkStart w:id="414" w:name="_Ref125368172"/>
      <w:r/>
      <w:bookmarkStart w:id="415" w:name="_Ref125368165"/>
      <w:r/>
      <w:bookmarkStart w:id="416" w:name="_Ref125368150"/>
      <w:r/>
      <w:bookmarkStart w:id="417" w:name="_Ref125368140"/>
      <w:r/>
      <w:bookmarkStart w:id="418" w:name="_Ref125366285"/>
      <w:r/>
      <w:bookmarkStart w:id="419" w:name="_Ref125366280"/>
      <w:r/>
      <w:bookmarkStart w:id="420" w:name="_Ref125366013"/>
      <w:r/>
      <w:bookmarkStart w:id="421" w:name="_Ref125361951"/>
      <w:r/>
      <w:bookmarkStart w:id="422" w:name="_Ref125361648"/>
      <w:r/>
      <w:bookmarkStart w:id="423" w:name="Прил08_ПорядокОценки"/>
      <w:r/>
      <w:bookmarkEnd w:id="423"/>
      <w:r>
        <w:t xml:space="preserve">Приложение № 8 – Порядок и критерии оценки и сопоставления заявок</w:t>
      </w:r>
      <w:bookmarkEnd w:id="405"/>
      <w:r/>
      <w:bookmarkEnd w:id="406"/>
      <w:r/>
      <w:bookmarkEnd w:id="407"/>
      <w:r/>
      <w:bookmarkEnd w:id="408"/>
      <w:r/>
      <w:bookmarkEnd w:id="409"/>
      <w:r/>
      <w:bookmarkEnd w:id="410"/>
      <w:r/>
      <w:bookmarkEnd w:id="411"/>
      <w:r/>
      <w:bookmarkEnd w:id="412"/>
      <w:r/>
      <w:bookmarkEnd w:id="413"/>
      <w:r/>
      <w:bookmarkEnd w:id="414"/>
      <w:r/>
      <w:bookmarkEnd w:id="415"/>
      <w:r/>
      <w:bookmarkEnd w:id="416"/>
      <w:r/>
      <w:bookmarkEnd w:id="417"/>
      <w:r/>
      <w:bookmarkEnd w:id="418"/>
      <w:r/>
      <w:bookmarkEnd w:id="419"/>
      <w:r/>
      <w:bookmarkEnd w:id="420"/>
      <w:r/>
      <w:bookmarkEnd w:id="421"/>
      <w:r/>
      <w:bookmarkEnd w:id="422"/>
      <w:r/>
      <w:r/>
    </w:p>
    <w:p>
      <w:pPr>
        <w:pStyle w:val="1337"/>
        <w:spacing w:before="360" w:after="0"/>
      </w:pPr>
      <w:r/>
      <w:bookmarkStart w:id="424" w:name="_Toc230928890"/>
      <w:r>
        <w:t xml:space="preserve">Порядок и критерии оценки и сопоставления заявок</w:t>
      </w:r>
      <w:bookmarkEnd w:id="424"/>
      <w:r/>
      <w:r/>
    </w:p>
    <w:p>
      <w:pPr>
        <w:pStyle w:val="1338"/>
      </w:pPr>
      <w:r>
        <w:t xml:space="preserve">Расчет итоговой оценки предпочтительности каждой заявки, успешно прошедшей отборочную стадию (подраздел </w:t>
      </w:r>
      <w:r>
        <w:fldChar w:fldCharType="begin"/>
      </w:r>
      <w:r>
        <w:instrText xml:space="preserve"> REF _Ref125362364 \w \h </w:instrText>
      </w:r>
      <w:r>
        <w:fldChar w:fldCharType="separate"/>
      </w:r>
      <w:r>
        <w:t xml:space="preserve">4.9</w:t>
      </w:r>
      <w:r>
        <w:fldChar w:fldCharType="end"/>
      </w:r>
      <w:r>
        <w:t xml:space="preserve">), осуществляется по следующим критериям оценки и в соответствии со следующим порядком оценки предпочтительности и сопоставления заявок:</w:t>
      </w:r>
      <w:r/>
    </w:p>
    <w:tbl>
      <w:tblPr>
        <w:tblStyle w:val="1505"/>
        <w:tblW w:w="15403" w:type="dxa"/>
        <w:tblInd w:w="69" w:type="dxa"/>
        <w:tblLayout w:type="fixed"/>
        <w:tblCellMar>
          <w:left w:w="57" w:type="dxa"/>
          <w:top w:w="0" w:type="dxa"/>
          <w:right w:w="57" w:type="dxa"/>
          <w:bottom w:w="0" w:type="dxa"/>
        </w:tblCellMar>
        <w:tblLook w:val="04A0" w:firstRow="1" w:lastRow="0" w:firstColumn="1" w:lastColumn="0" w:noHBand="0" w:noVBand="1"/>
      </w:tblPr>
      <w:tblGrid>
        <w:gridCol w:w="1099"/>
        <w:gridCol w:w="1454"/>
        <w:gridCol w:w="1345"/>
        <w:gridCol w:w="1064"/>
        <w:gridCol w:w="1171"/>
        <w:gridCol w:w="1984"/>
        <w:gridCol w:w="7285"/>
      </w:tblGrid>
      <w:tr>
        <w:tblPrEx/>
        <w:trPr/>
        <w:tc>
          <w:tcPr>
            <w:tcW w:w="1099" w:type="dxa"/>
            <w:vMerge w:val="restart"/>
            <w:textDirection w:val="lrTb"/>
            <w:noWrap w:val="false"/>
          </w:tcPr>
          <w:p>
            <w:pPr>
              <w:pStyle w:val="1342"/>
              <w:jc w:val="center"/>
              <w:keepLines w:val="0"/>
              <w:keepNext/>
              <w:spacing w:before="40" w:after="40" w:line="240" w:lineRule="auto"/>
              <w:widowControl w:val="off"/>
              <w:rPr>
                <w:sz w:val="18"/>
                <w:szCs w:val="18"/>
              </w:rPr>
            </w:pPr>
            <w:r>
              <w:rPr>
                <w:rFonts w:eastAsia="Calibri" w:cs="Arial"/>
                <w:b/>
                <w:sz w:val="18"/>
                <w:szCs w:val="18"/>
                <w:lang w:val="ru-RU" w:eastAsia="en-US" w:bidi="ar-SA"/>
              </w:rPr>
              <w:t xml:space="preserve">Номер критерия оценки в</w:t>
            </w:r>
            <w:r>
              <w:rPr>
                <w:rFonts w:eastAsia="Calibri" w:cs="Arial"/>
                <w:b/>
                <w:sz w:val="18"/>
                <w:szCs w:val="18"/>
                <w:lang w:val="en-US" w:eastAsia="en-US" w:bidi="ar-SA"/>
              </w:rPr>
              <w:t xml:space="preserve"> </w:t>
            </w:r>
            <w:r>
              <w:rPr>
                <w:rFonts w:eastAsia="Calibri" w:cs="Arial"/>
                <w:b/>
                <w:sz w:val="18"/>
                <w:szCs w:val="18"/>
                <w:lang w:val="ru-RU" w:eastAsia="en-US" w:bidi="ar-SA"/>
              </w:rPr>
              <w:t xml:space="preserve">структуре</w:t>
            </w:r>
            <w:r>
              <w:rPr>
                <w:sz w:val="18"/>
                <w:szCs w:val="18"/>
              </w:rPr>
            </w:r>
            <w:r>
              <w:rPr>
                <w:sz w:val="18"/>
                <w:szCs w:val="18"/>
              </w:rPr>
            </w:r>
          </w:p>
        </w:tc>
        <w:tc>
          <w:tcPr>
            <w:tcW w:w="1454" w:type="dxa"/>
            <w:vMerge w:val="restart"/>
            <w:textDirection w:val="lrTb"/>
            <w:noWrap w:val="false"/>
          </w:tcPr>
          <w:p>
            <w:pPr>
              <w:pStyle w:val="1342"/>
              <w:jc w:val="center"/>
              <w:keepLines w:val="0"/>
              <w:keepNext/>
              <w:spacing w:before="40" w:after="40" w:line="240" w:lineRule="auto"/>
              <w:widowControl w:val="off"/>
              <w:rPr>
                <w:sz w:val="18"/>
                <w:szCs w:val="18"/>
              </w:rPr>
            </w:pPr>
            <w:r>
              <w:rPr>
                <w:rFonts w:eastAsia="Calibri" w:cs="Arial"/>
                <w:b/>
                <w:sz w:val="18"/>
                <w:szCs w:val="18"/>
                <w:lang w:val="ru-RU" w:eastAsia="en-US" w:bidi="ar-SA"/>
              </w:rPr>
              <w:t xml:space="preserve">Вид критерия оценки / направление оценки заявок</w:t>
            </w:r>
            <w:r>
              <w:rPr>
                <w:sz w:val="18"/>
                <w:szCs w:val="18"/>
              </w:rPr>
            </w:r>
            <w:r>
              <w:rPr>
                <w:sz w:val="18"/>
                <w:szCs w:val="18"/>
              </w:rPr>
            </w:r>
          </w:p>
        </w:tc>
        <w:tc>
          <w:tcPr>
            <w:gridSpan w:val="2"/>
            <w:tcW w:w="2409" w:type="dxa"/>
            <w:textDirection w:val="lrTb"/>
            <w:noWrap w:val="false"/>
          </w:tcPr>
          <w:p>
            <w:pPr>
              <w:pStyle w:val="1342"/>
              <w:jc w:val="center"/>
              <w:keepLines w:val="0"/>
              <w:keepNext/>
              <w:spacing w:before="40" w:after="40" w:line="240" w:lineRule="auto"/>
              <w:widowControl w:val="off"/>
              <w:rPr>
                <w:sz w:val="18"/>
                <w:szCs w:val="18"/>
              </w:rPr>
            </w:pPr>
            <w:r>
              <w:rPr>
                <w:rFonts w:eastAsia="Calibri" w:cs="Arial"/>
                <w:b/>
                <w:sz w:val="18"/>
                <w:szCs w:val="18"/>
                <w:lang w:val="ru-RU" w:eastAsia="en-US" w:bidi="ar-SA"/>
              </w:rPr>
              <w:t xml:space="preserve">Наименование критерия оценки</w:t>
            </w:r>
            <w:r>
              <w:rPr>
                <w:sz w:val="18"/>
                <w:szCs w:val="18"/>
              </w:rPr>
            </w:r>
            <w:r>
              <w:rPr>
                <w:sz w:val="18"/>
                <w:szCs w:val="18"/>
              </w:rPr>
            </w:r>
          </w:p>
        </w:tc>
        <w:tc>
          <w:tcPr>
            <w:tcW w:w="1171" w:type="dxa"/>
            <w:vMerge w:val="restart"/>
            <w:textDirection w:val="lrTb"/>
            <w:noWrap w:val="false"/>
          </w:tcPr>
          <w:p>
            <w:pPr>
              <w:pStyle w:val="1342"/>
              <w:jc w:val="center"/>
              <w:keepLines w:val="0"/>
              <w:keepNext/>
              <w:spacing w:before="40" w:after="40" w:line="240" w:lineRule="auto"/>
              <w:widowControl w:val="off"/>
              <w:rPr>
                <w:sz w:val="18"/>
                <w:szCs w:val="18"/>
              </w:rPr>
            </w:pPr>
            <w:r>
              <w:rPr>
                <w:rFonts w:eastAsia="Calibri" w:cs="Arial"/>
                <w:b/>
                <w:sz w:val="18"/>
                <w:szCs w:val="18"/>
                <w:lang w:val="ru-RU" w:eastAsia="en-US" w:bidi="ar-SA"/>
              </w:rPr>
              <w:t xml:space="preserve">Значимость</w:t>
              <w:br/>
              <w:t xml:space="preserve">критерия оценки</w:t>
            </w:r>
            <w:r>
              <w:rPr>
                <w:sz w:val="18"/>
                <w:szCs w:val="18"/>
              </w:rPr>
            </w:r>
            <w:r>
              <w:rPr>
                <w:sz w:val="18"/>
                <w:szCs w:val="18"/>
              </w:rPr>
            </w:r>
          </w:p>
        </w:tc>
        <w:tc>
          <w:tcPr>
            <w:tcW w:w="1984" w:type="dxa"/>
            <w:vMerge w:val="restart"/>
            <w:textDirection w:val="lrTb"/>
            <w:noWrap w:val="false"/>
          </w:tcPr>
          <w:p>
            <w:pPr>
              <w:pStyle w:val="1342"/>
              <w:jc w:val="center"/>
              <w:keepLines w:val="0"/>
              <w:keepNext/>
              <w:spacing w:before="40" w:after="40" w:line="240" w:lineRule="auto"/>
              <w:widowControl w:val="off"/>
              <w:rPr>
                <w:sz w:val="18"/>
                <w:szCs w:val="18"/>
              </w:rPr>
            </w:pPr>
            <w:r>
              <w:rPr>
                <w:rFonts w:eastAsia="Calibri" w:cs="Arial"/>
                <w:b/>
                <w:sz w:val="18"/>
                <w:szCs w:val="18"/>
                <w:lang w:val="ru-RU" w:eastAsia="en-US" w:bidi="ar-SA"/>
              </w:rPr>
              <w:t xml:space="preserve">Содержание частного критерия оценки</w:t>
            </w:r>
            <w:r>
              <w:rPr>
                <w:sz w:val="18"/>
                <w:szCs w:val="18"/>
              </w:rPr>
            </w:r>
            <w:r>
              <w:rPr>
                <w:sz w:val="18"/>
                <w:szCs w:val="18"/>
              </w:rPr>
            </w:r>
          </w:p>
        </w:tc>
        <w:tc>
          <w:tcPr>
            <w:tcW w:w="7285" w:type="dxa"/>
            <w:vMerge w:val="restart"/>
            <w:textDirection w:val="lrTb"/>
            <w:noWrap w:val="false"/>
          </w:tcPr>
          <w:p>
            <w:pPr>
              <w:pStyle w:val="1342"/>
              <w:jc w:val="center"/>
              <w:keepLines w:val="0"/>
              <w:keepNext/>
              <w:spacing w:before="40" w:after="40" w:line="240" w:lineRule="auto"/>
              <w:widowControl w:val="off"/>
              <w:rPr>
                <w:sz w:val="18"/>
                <w:szCs w:val="18"/>
              </w:rPr>
            </w:pPr>
            <w:r>
              <w:rPr>
                <w:rFonts w:eastAsia="Calibri" w:cs="Arial"/>
                <w:b/>
                <w:sz w:val="18"/>
                <w:szCs w:val="18"/>
                <w:lang w:val="ru-RU" w:eastAsia="en-US" w:bidi="ar-SA"/>
              </w:rPr>
              <w:t xml:space="preserve">Расчет оценки предпочтительности заявки</w:t>
            </w:r>
            <w:r>
              <w:rPr>
                <w:sz w:val="18"/>
                <w:szCs w:val="18"/>
              </w:rPr>
            </w:r>
            <w:r>
              <w:rPr>
                <w:sz w:val="18"/>
                <w:szCs w:val="18"/>
              </w:rPr>
            </w:r>
          </w:p>
        </w:tc>
      </w:tr>
      <w:tr>
        <w:tblPrEx/>
        <w:trPr>
          <w:trHeight w:val="846"/>
        </w:trPr>
        <w:tc>
          <w:tcPr>
            <w:tcW w:w="1099" w:type="dxa"/>
            <w:vMerge w:val="continue"/>
            <w:textDirection w:val="lrTb"/>
            <w:noWrap w:val="false"/>
          </w:tcPr>
          <w:p>
            <w:pPr>
              <w:pStyle w:val="1342"/>
              <w:jc w:val="center"/>
              <w:spacing w:before="40" w:after="40" w:line="240" w:lineRule="auto"/>
              <w:widowControl w:val="off"/>
              <w:rPr>
                <w:sz w:val="18"/>
                <w:szCs w:val="18"/>
              </w:rPr>
            </w:pPr>
            <w:r>
              <w:rPr>
                <w:sz w:val="18"/>
                <w:szCs w:val="18"/>
              </w:rPr>
            </w:r>
            <w:r>
              <w:rPr>
                <w:sz w:val="18"/>
                <w:szCs w:val="18"/>
              </w:rPr>
            </w:r>
            <w:r>
              <w:rPr>
                <w:sz w:val="18"/>
                <w:szCs w:val="18"/>
              </w:rPr>
            </w:r>
          </w:p>
        </w:tc>
        <w:tc>
          <w:tcPr>
            <w:tcW w:w="1454" w:type="dxa"/>
            <w:vMerge w:val="continue"/>
            <w:textDirection w:val="lrTb"/>
            <w:noWrap w:val="false"/>
          </w:tcPr>
          <w:p>
            <w:pPr>
              <w:pStyle w:val="1342"/>
              <w:jc w:val="center"/>
              <w:spacing w:before="40" w:after="40" w:line="240" w:lineRule="auto"/>
              <w:widowControl w:val="off"/>
              <w:rPr>
                <w:sz w:val="18"/>
                <w:szCs w:val="18"/>
              </w:rPr>
            </w:pPr>
            <w:r>
              <w:rPr>
                <w:sz w:val="18"/>
                <w:szCs w:val="18"/>
              </w:rPr>
            </w:r>
            <w:r>
              <w:rPr>
                <w:sz w:val="18"/>
                <w:szCs w:val="18"/>
              </w:rPr>
            </w:r>
            <w:r>
              <w:rPr>
                <w:sz w:val="18"/>
                <w:szCs w:val="18"/>
              </w:rPr>
            </w:r>
          </w:p>
        </w:tc>
        <w:tc>
          <w:tcPr>
            <w:tcW w:w="1345" w:type="dxa"/>
            <w:textDirection w:val="lrTb"/>
            <w:noWrap w:val="false"/>
          </w:tcPr>
          <w:p>
            <w:pPr>
              <w:pStyle w:val="1342"/>
              <w:jc w:val="center"/>
              <w:spacing w:before="40" w:after="40" w:line="240" w:lineRule="auto"/>
              <w:widowControl w:val="off"/>
              <w:rPr>
                <w:b/>
                <w:bCs/>
                <w:sz w:val="18"/>
                <w:szCs w:val="18"/>
              </w:rPr>
            </w:pPr>
            <w:r>
              <w:rPr>
                <w:rFonts w:eastAsia="Calibri" w:cs="Arial"/>
                <w:b/>
                <w:bCs/>
                <w:sz w:val="18"/>
                <w:szCs w:val="18"/>
                <w:lang w:val="ru-RU" w:eastAsia="en-US" w:bidi="ar-SA"/>
              </w:rPr>
              <w:t xml:space="preserve">критерий оценки первого уровня</w:t>
            </w:r>
            <w:r>
              <w:rPr>
                <w:b/>
                <w:bCs/>
                <w:sz w:val="18"/>
                <w:szCs w:val="18"/>
              </w:rPr>
            </w:r>
            <w:r>
              <w:rPr>
                <w:b/>
                <w:bCs/>
                <w:sz w:val="18"/>
                <w:szCs w:val="18"/>
              </w:rPr>
            </w:r>
          </w:p>
        </w:tc>
        <w:tc>
          <w:tcPr>
            <w:tcW w:w="1064" w:type="dxa"/>
            <w:textDirection w:val="lrTb"/>
            <w:noWrap w:val="false"/>
          </w:tcPr>
          <w:p>
            <w:pPr>
              <w:pStyle w:val="1342"/>
              <w:jc w:val="center"/>
              <w:spacing w:before="40" w:after="40" w:line="240" w:lineRule="auto"/>
              <w:widowControl w:val="off"/>
              <w:rPr>
                <w:b/>
                <w:bCs/>
                <w:sz w:val="18"/>
                <w:szCs w:val="18"/>
              </w:rPr>
            </w:pPr>
            <w:r>
              <w:rPr>
                <w:rFonts w:eastAsia="Calibri" w:cs="Arial"/>
                <w:b/>
                <w:bCs/>
                <w:sz w:val="18"/>
                <w:szCs w:val="18"/>
                <w:lang w:val="ru-RU" w:eastAsia="en-US" w:bidi="ar-SA"/>
              </w:rPr>
              <w:t xml:space="preserve">критерий оценки второго уровня</w:t>
            </w:r>
            <w:r>
              <w:rPr>
                <w:b/>
                <w:bCs/>
                <w:sz w:val="18"/>
                <w:szCs w:val="18"/>
              </w:rPr>
            </w:r>
            <w:r>
              <w:rPr>
                <w:b/>
                <w:bCs/>
                <w:sz w:val="18"/>
                <w:szCs w:val="18"/>
              </w:rPr>
            </w:r>
          </w:p>
        </w:tc>
        <w:tc>
          <w:tcPr>
            <w:tcW w:w="1171" w:type="dxa"/>
            <w:vMerge w:val="continue"/>
            <w:textDirection w:val="lrTb"/>
            <w:noWrap w:val="false"/>
          </w:tcPr>
          <w:p>
            <w:pPr>
              <w:pStyle w:val="1342"/>
              <w:jc w:val="center"/>
              <w:spacing w:before="40" w:after="40" w:line="240" w:lineRule="auto"/>
              <w:widowControl w:val="off"/>
              <w:rPr>
                <w:sz w:val="18"/>
                <w:szCs w:val="18"/>
              </w:rPr>
            </w:pPr>
            <w:r>
              <w:rPr>
                <w:sz w:val="18"/>
                <w:szCs w:val="18"/>
              </w:rPr>
            </w:r>
            <w:r>
              <w:rPr>
                <w:sz w:val="18"/>
                <w:szCs w:val="18"/>
              </w:rPr>
            </w:r>
            <w:r>
              <w:rPr>
                <w:sz w:val="18"/>
                <w:szCs w:val="18"/>
              </w:rPr>
            </w:r>
          </w:p>
        </w:tc>
        <w:tc>
          <w:tcPr>
            <w:tcW w:w="1984" w:type="dxa"/>
            <w:vMerge w:val="continue"/>
            <w:textDirection w:val="lrTb"/>
            <w:noWrap w:val="false"/>
          </w:tcPr>
          <w:p>
            <w:pPr>
              <w:pStyle w:val="1342"/>
              <w:jc w:val="center"/>
              <w:spacing w:before="40" w:after="40" w:line="240" w:lineRule="auto"/>
              <w:widowControl w:val="off"/>
              <w:rPr>
                <w:sz w:val="18"/>
                <w:szCs w:val="18"/>
              </w:rPr>
            </w:pPr>
            <w:r>
              <w:rPr>
                <w:sz w:val="18"/>
                <w:szCs w:val="18"/>
              </w:rPr>
            </w:r>
            <w:r>
              <w:rPr>
                <w:sz w:val="18"/>
                <w:szCs w:val="18"/>
              </w:rPr>
            </w:r>
            <w:r>
              <w:rPr>
                <w:sz w:val="18"/>
                <w:szCs w:val="18"/>
              </w:rPr>
            </w:r>
          </w:p>
        </w:tc>
        <w:tc>
          <w:tcPr>
            <w:tcW w:w="7285" w:type="dxa"/>
            <w:vMerge w:val="continue"/>
            <w:textDirection w:val="lrTb"/>
            <w:noWrap w:val="false"/>
          </w:tcPr>
          <w:p>
            <w:pPr>
              <w:pStyle w:val="1342"/>
              <w:jc w:val="center"/>
              <w:spacing w:before="40" w:after="40" w:line="240" w:lineRule="auto"/>
              <w:widowControl w:val="off"/>
              <w:rPr>
                <w:sz w:val="18"/>
                <w:szCs w:val="18"/>
              </w:rPr>
            </w:pPr>
            <w:r>
              <w:rPr>
                <w:sz w:val="18"/>
                <w:szCs w:val="18"/>
              </w:rPr>
            </w:r>
            <w:r>
              <w:rPr>
                <w:sz w:val="18"/>
                <w:szCs w:val="18"/>
              </w:rPr>
            </w:r>
            <w:r>
              <w:rPr>
                <w:sz w:val="18"/>
                <w:szCs w:val="18"/>
              </w:rPr>
            </w:r>
          </w:p>
        </w:tc>
      </w:tr>
      <w:tr>
        <w:tblPrEx/>
        <w:trPr/>
        <w:tc>
          <w:tcPr>
            <w:tcW w:w="1099" w:type="dxa"/>
            <w:textDirection w:val="lrTb"/>
            <w:noWrap w:val="false"/>
          </w:tcPr>
          <w:p>
            <w:pPr>
              <w:pStyle w:val="1271"/>
              <w:jc w:val="left"/>
              <w:spacing w:before="60" w:after="60" w:line="240" w:lineRule="auto"/>
              <w:widowControl w:val="off"/>
              <w:rPr>
                <w:sz w:val="18"/>
                <w:szCs w:val="18"/>
              </w:rPr>
            </w:pPr>
            <w:r>
              <w:rPr>
                <w:rFonts w:eastAsia="Calibri" w:cs="Arial"/>
                <w:sz w:val="18"/>
                <w:szCs w:val="18"/>
                <w:lang w:val="ru-RU" w:eastAsia="en-US" w:bidi="ar-SA"/>
              </w:rPr>
              <w:t xml:space="preserve">1.</w:t>
            </w:r>
            <w:r>
              <w:rPr>
                <w:sz w:val="18"/>
                <w:szCs w:val="18"/>
              </w:rPr>
            </w:r>
            <w:r>
              <w:rPr>
                <w:sz w:val="18"/>
                <w:szCs w:val="18"/>
              </w:rPr>
            </w:r>
          </w:p>
        </w:tc>
        <w:tc>
          <w:tcPr>
            <w:tcW w:w="1454" w:type="dxa"/>
            <w:textDirection w:val="lrTb"/>
            <w:noWrap w:val="false"/>
          </w:tcPr>
          <w:p>
            <w:pPr>
              <w:pStyle w:val="1369"/>
              <w:numPr>
                <w:ilvl w:val="7"/>
                <w:numId w:val="34"/>
              </w:numPr>
              <w:ind w:left="0" w:right="0" w:firstLine="0"/>
              <w:jc w:val="left"/>
              <w:spacing w:before="40" w:after="40" w:line="240" w:lineRule="auto"/>
              <w:widowControl w:val="off"/>
              <w:rPr>
                <w:rFonts w:ascii="Times New Roman" w:hAnsi="Times New Roman" w:cs="Times New Roman"/>
                <w:sz w:val="22"/>
                <w:szCs w:val="22"/>
              </w:rPr>
            </w:pPr>
            <w:r>
              <w:rPr>
                <w:rFonts w:eastAsia="Times New Roman" w:cs="Times New Roman"/>
                <w:sz w:val="18"/>
                <w:szCs w:val="18"/>
                <w:lang w:eastAsia="ru-RU"/>
              </w:rPr>
              <w:t xml:space="preserve">Ценовой (стоимостный) частный критерий оценки первого уровня /ЦЕНА</w:t>
            </w:r>
            <w:r>
              <w:rPr>
                <w:rFonts w:ascii="Times New Roman" w:hAnsi="Times New Roman" w:cs="Times New Roman"/>
                <w:sz w:val="22"/>
                <w:szCs w:val="22"/>
              </w:rPr>
            </w:r>
            <w:r>
              <w:rPr>
                <w:rFonts w:ascii="Times New Roman" w:hAnsi="Times New Roman" w:cs="Times New Roman"/>
                <w:sz w:val="22"/>
                <w:szCs w:val="22"/>
              </w:rPr>
            </w:r>
          </w:p>
          <w:p>
            <w:pPr>
              <w:pStyle w:val="1271"/>
              <w:jc w:val="left"/>
              <w:spacing w:before="60" w:after="60" w:line="240" w:lineRule="auto"/>
              <w:widowControl w:val="off"/>
              <w:rPr>
                <w:sz w:val="18"/>
                <w:szCs w:val="18"/>
              </w:rPr>
            </w:pPr>
            <w:r>
              <w:rPr>
                <w:sz w:val="18"/>
                <w:szCs w:val="18"/>
              </w:rPr>
            </w:r>
            <w:r>
              <w:rPr>
                <w:sz w:val="18"/>
                <w:szCs w:val="18"/>
              </w:rPr>
            </w:r>
            <w:r>
              <w:rPr>
                <w:sz w:val="18"/>
                <w:szCs w:val="18"/>
              </w:rPr>
            </w:r>
          </w:p>
        </w:tc>
        <w:tc>
          <w:tcPr>
            <w:tcW w:w="1345" w:type="dxa"/>
            <w:textDirection w:val="lrTb"/>
            <w:noWrap w:val="false"/>
          </w:tcPr>
          <w:p>
            <w:pPr>
              <w:pStyle w:val="1369"/>
              <w:numPr>
                <w:ilvl w:val="7"/>
                <w:numId w:val="35"/>
              </w:numPr>
              <w:ind w:left="0" w:right="0" w:firstLine="0"/>
              <w:jc w:val="left"/>
              <w:spacing w:before="40" w:after="40" w:line="240" w:lineRule="auto"/>
              <w:widowControl w:val="off"/>
              <w:rPr>
                <w:rFonts w:ascii="Times New Roman" w:hAnsi="Times New Roman" w:cs="Times New Roman"/>
                <w:sz w:val="22"/>
                <w:szCs w:val="22"/>
              </w:rPr>
            </w:pPr>
            <w:r>
              <w:rPr>
                <w:rFonts w:eastAsia="Times New Roman" w:cs="Times New Roman"/>
                <w:sz w:val="18"/>
                <w:szCs w:val="18"/>
                <w:lang w:eastAsia="ru-RU"/>
              </w:rPr>
              <w:t xml:space="preserve">Цена договора</w:t>
            </w:r>
            <w:r>
              <w:rPr>
                <w:rFonts w:eastAsia="Times New Roman" w:cs="Times New Roman"/>
                <w:sz w:val="18"/>
                <w:szCs w:val="18"/>
                <w:lang w:val="en-US" w:eastAsia="ru-RU"/>
              </w:rPr>
              <w:t xml:space="preserve"> (заявки)</w:t>
            </w:r>
            <w:r>
              <w:rPr>
                <w:rFonts w:ascii="Times New Roman" w:hAnsi="Times New Roman" w:cs="Times New Roman"/>
                <w:sz w:val="22"/>
                <w:szCs w:val="22"/>
              </w:rPr>
            </w:r>
            <w:r>
              <w:rPr>
                <w:rFonts w:ascii="Times New Roman" w:hAnsi="Times New Roman" w:cs="Times New Roman"/>
                <w:sz w:val="22"/>
                <w:szCs w:val="22"/>
              </w:rPr>
            </w:r>
          </w:p>
          <w:p>
            <w:pPr>
              <w:pStyle w:val="1342"/>
              <w:jc w:val="center"/>
              <w:spacing w:before="40" w:after="40" w:line="240" w:lineRule="auto"/>
              <w:widowControl w:val="off"/>
              <w:rPr>
                <w:sz w:val="18"/>
                <w:szCs w:val="18"/>
              </w:rPr>
            </w:pPr>
            <w:r>
              <w:rPr>
                <w:sz w:val="18"/>
                <w:szCs w:val="18"/>
              </w:rPr>
            </w:r>
            <w:r>
              <w:rPr>
                <w:sz w:val="18"/>
                <w:szCs w:val="18"/>
              </w:rPr>
            </w:r>
            <w:r>
              <w:rPr>
                <w:sz w:val="18"/>
                <w:szCs w:val="18"/>
              </w:rPr>
            </w:r>
          </w:p>
        </w:tc>
        <w:tc>
          <w:tcPr>
            <w:tcW w:w="1064" w:type="dxa"/>
            <w:textDirection w:val="lrTb"/>
            <w:noWrap w:val="false"/>
          </w:tcPr>
          <w:p>
            <w:pPr>
              <w:pStyle w:val="1342"/>
              <w:jc w:val="center"/>
              <w:spacing w:before="40" w:after="40" w:line="240" w:lineRule="auto"/>
              <w:widowControl w:val="off"/>
              <w:rPr>
                <w:i w:val="0"/>
                <w:iCs w:val="0"/>
                <w:sz w:val="18"/>
                <w:szCs w:val="18"/>
              </w:rPr>
            </w:pPr>
            <w:r>
              <w:rPr>
                <w:rFonts w:eastAsia="Times New Roman" w:cs="Times New Roman"/>
                <w:i w:val="0"/>
                <w:iCs w:val="0"/>
                <w:sz w:val="18"/>
                <w:szCs w:val="18"/>
                <w:lang w:val="ru-RU" w:eastAsia="ru-RU" w:bidi="ar-SA"/>
              </w:rPr>
              <w:t xml:space="preserve">отсутствует</w:t>
            </w:r>
            <w:r>
              <w:rPr>
                <w:i w:val="0"/>
                <w:iCs w:val="0"/>
                <w:sz w:val="18"/>
                <w:szCs w:val="18"/>
              </w:rPr>
            </w:r>
            <w:r>
              <w:rPr>
                <w:i w:val="0"/>
                <w:iCs w:val="0"/>
                <w:sz w:val="18"/>
                <w:szCs w:val="18"/>
              </w:rPr>
            </w:r>
          </w:p>
        </w:tc>
        <w:tc>
          <w:tcPr>
            <w:tcW w:w="1171" w:type="dxa"/>
            <w:textDirection w:val="lrTb"/>
            <w:noWrap w:val="false"/>
          </w:tcPr>
          <w:p>
            <w:pPr>
              <w:pStyle w:val="1342"/>
              <w:jc w:val="center"/>
              <w:spacing w:before="40" w:after="40" w:line="240" w:lineRule="auto"/>
              <w:widowControl w:val="off"/>
              <w:rPr>
                <w:sz w:val="18"/>
                <w:szCs w:val="18"/>
              </w:rPr>
            </w:pPr>
            <w:r>
              <w:rPr>
                <w:rFonts w:eastAsia="Times New Roman" w:cs="Times New Roman"/>
                <w:sz w:val="18"/>
                <w:szCs w:val="18"/>
                <w:lang w:val="en-US" w:eastAsia="en-US" w:bidi="ar-SA"/>
              </w:rPr>
              <w:t xml:space="preserve">75</w:t>
            </w:r>
            <w:r>
              <w:rPr>
                <w:rFonts w:eastAsia="Times New Roman" w:cs="Times New Roman"/>
                <w:sz w:val="18"/>
                <w:szCs w:val="18"/>
                <w:lang w:val="ru-RU" w:eastAsia="en-US" w:bidi="ar-SA"/>
              </w:rPr>
              <w:t xml:space="preserve">%</w:t>
              <w:br/>
              <w:t xml:space="preserve">(В</w:t>
            </w:r>
            <w:r>
              <w:rPr>
                <w:rFonts w:eastAsia="Times New Roman" w:cs="Times New Roman"/>
                <w:sz w:val="18"/>
                <w:szCs w:val="18"/>
                <w:vertAlign w:val="subscript"/>
                <w:lang w:val="ru-RU" w:eastAsia="en-US" w:bidi="ar-SA"/>
              </w:rPr>
              <w:t xml:space="preserve">1</w:t>
            </w:r>
            <w:r>
              <w:rPr>
                <w:rFonts w:eastAsia="Times New Roman" w:cs="Times New Roman"/>
                <w:sz w:val="18"/>
                <w:szCs w:val="18"/>
                <w:lang w:val="ru-RU" w:eastAsia="en-US" w:bidi="ar-SA"/>
              </w:rPr>
              <w:t xml:space="preserve"> = 0,</w:t>
            </w:r>
            <w:r>
              <w:rPr>
                <w:rFonts w:eastAsia="Times New Roman" w:cs="Times New Roman"/>
                <w:sz w:val="18"/>
                <w:szCs w:val="18"/>
                <w:lang w:val="en-US" w:eastAsia="en-US" w:bidi="ar-SA"/>
              </w:rPr>
              <w:t xml:space="preserve">75</w:t>
            </w:r>
            <w:r>
              <w:rPr>
                <w:rFonts w:eastAsia="Times New Roman" w:cs="Times New Roman"/>
                <w:sz w:val="18"/>
                <w:szCs w:val="18"/>
                <w:lang w:val="ru-RU" w:eastAsia="en-US" w:bidi="ar-SA"/>
              </w:rPr>
              <w:t xml:space="preserve">)</w:t>
            </w:r>
            <w:r>
              <w:rPr>
                <w:sz w:val="18"/>
                <w:szCs w:val="18"/>
              </w:rPr>
            </w:r>
            <w:r>
              <w:rPr>
                <w:sz w:val="18"/>
                <w:szCs w:val="18"/>
              </w:rPr>
            </w:r>
          </w:p>
        </w:tc>
        <w:tc>
          <w:tcPr>
            <w:tcW w:w="1984" w:type="dxa"/>
            <w:textDirection w:val="lrTb"/>
            <w:noWrap w:val="false"/>
          </w:tcPr>
          <w:p>
            <w:pPr>
              <w:pStyle w:val="1369"/>
              <w:numPr>
                <w:ilvl w:val="7"/>
                <w:numId w:val="36"/>
              </w:numPr>
              <w:ind w:left="0" w:right="0" w:firstLine="0"/>
              <w:jc w:val="center"/>
              <w:spacing w:before="40" w:after="40" w:line="240" w:lineRule="auto"/>
              <w:widowControl w:val="off"/>
              <w:rPr>
                <w:rFonts w:ascii="Times New Roman" w:hAnsi="Times New Roman" w:cs="Times New Roman"/>
                <w:sz w:val="22"/>
                <w:szCs w:val="22"/>
              </w:rPr>
            </w:pPr>
            <w:r>
              <w:rPr>
                <w:rFonts w:eastAsia="Times New Roman" w:cs="Times New Roman"/>
                <w:sz w:val="18"/>
                <w:szCs w:val="18"/>
                <w:lang w:eastAsia="ru-RU"/>
              </w:rPr>
              <w:t xml:space="preserve">Чем меньше цена заявки Участника, тем выше предпочтительность</w:t>
            </w:r>
            <w:r>
              <w:rPr>
                <w:rFonts w:ascii="Times New Roman" w:hAnsi="Times New Roman" w:cs="Times New Roman"/>
                <w:sz w:val="22"/>
                <w:szCs w:val="22"/>
              </w:rPr>
            </w:r>
            <w:r>
              <w:rPr>
                <w:rFonts w:ascii="Times New Roman" w:hAnsi="Times New Roman" w:cs="Times New Roman"/>
                <w:sz w:val="22"/>
                <w:szCs w:val="22"/>
              </w:rPr>
            </w:r>
          </w:p>
          <w:p>
            <w:pPr>
              <w:pStyle w:val="1342"/>
              <w:jc w:val="left"/>
              <w:spacing w:before="40" w:after="40" w:line="240" w:lineRule="auto"/>
              <w:widowControl w:val="off"/>
              <w:rPr>
                <w:sz w:val="18"/>
                <w:szCs w:val="18"/>
              </w:rPr>
            </w:pPr>
            <w:r>
              <w:rPr>
                <w:sz w:val="18"/>
                <w:szCs w:val="18"/>
              </w:rPr>
            </w:r>
            <w:r>
              <w:rPr>
                <w:sz w:val="18"/>
                <w:szCs w:val="18"/>
              </w:rPr>
            </w:r>
            <w:r>
              <w:rPr>
                <w:sz w:val="18"/>
                <w:szCs w:val="18"/>
              </w:rPr>
            </w:r>
          </w:p>
        </w:tc>
        <w:tc>
          <w:tcPr>
            <w:tcW w:w="7285" w:type="dxa"/>
            <w:textDirection w:val="lrTb"/>
            <w:noWrap w:val="false"/>
          </w:tcPr>
          <w:p>
            <w:pPr>
              <w:pStyle w:val="1271"/>
              <w:ind w:firstLine="0"/>
              <w:jc w:val="left"/>
              <w:keepLines/>
              <w:keepNext/>
              <w:spacing w:before="60" w:after="60" w:line="240" w:lineRule="auto"/>
              <w:widowControl w:val="off"/>
              <w:rPr>
                <w:rFonts w:ascii="Times New Roman" w:hAnsi="Times New Roman" w:cs="Times New Roman"/>
                <w:sz w:val="22"/>
                <w:szCs w:val="22"/>
              </w:rPr>
            </w:pPr>
            <w:r>
              <w:rPr>
                <w:rFonts w:eastAsia="Times New Roman" w:cs="Times New Roman"/>
                <w:sz w:val="18"/>
                <w:szCs w:val="18"/>
                <w:lang w:val="ru-RU" w:eastAsia="en-US" w:bidi="ar-SA"/>
              </w:rPr>
              <w:t xml:space="preserve">Расчет оценки предпочтительности по частному критерию по методу «Математическая формула, задающая «функцию ценности»»:</w:t>
            </w:r>
            <w:r>
              <w:rPr>
                <w:rFonts w:ascii="Times New Roman" w:hAnsi="Times New Roman" w:cs="Times New Roman"/>
                <w:sz w:val="22"/>
                <w:szCs w:val="22"/>
              </w:rPr>
            </w:r>
            <w:r>
              <w:rPr>
                <w:rFonts w:ascii="Times New Roman" w:hAnsi="Times New Roman" w:cs="Times New Roman"/>
                <w:sz w:val="22"/>
                <w:szCs w:val="22"/>
              </w:rPr>
            </w:r>
          </w:p>
          <w:p>
            <w:pPr>
              <w:pStyle w:val="1271"/>
              <w:jc w:val="left"/>
              <w:spacing w:before="60" w:after="60" w:line="240" w:lineRule="auto"/>
              <w:widowControl w:val="off"/>
              <w:rPr>
                <w:rFonts w:ascii="Times New Roman" w:hAnsi="Times New Roman" w:cs="Times New Roman"/>
                <w:sz w:val="22"/>
                <w:szCs w:val="22"/>
              </w:rPr>
            </w:pPr>
            <w:r/>
            <m:oMathPara>
              <m:oMathParaPr>
                <m:jc m:val="left"/>
              </m:oMathParaPr>
              <m:oMath>
                <m:sSub>
                  <m:sSubPr>
                    <m:ctrlPr/>
                  </m:sSubPr>
                  <m:e>
                    <m:r>
                      <w:rPr>
                        <w:rFonts w:ascii="Cambria Math" w:hAnsi="Cambria Math"/>
                      </w:rPr>
                      <m:rPr/>
                      <m:t>Б</m:t>
                    </m:r>
                  </m:e>
                  <m:sub>
                    <m:r>
                      <w:rPr>
                        <w:rFonts w:ascii="Cambria Math" w:hAnsi="Cambria Math"/>
                      </w:rPr>
                      <m:rPr/>
                      <m:t>1</m:t>
                    </m:r>
                  </m:sub>
                </m:sSub>
                <m:r>
                  <w:rPr>
                    <w:rFonts w:ascii="Cambria Math" w:hAnsi="Cambria Math"/>
                  </w:rPr>
                  <m:rPr/>
                  <m:t>=</m:t>
                </m:r>
                <m:f>
                  <m:fPr>
                    <m:ctrlPr/>
                  </m:fPr>
                  <m:num>
                    <m:r>
                      <w:rPr>
                        <w:rFonts w:ascii="Cambria Math" w:hAnsi="Cambria Math"/>
                      </w:rPr>
                      <m:rPr/>
                      <m:t>ЦЕНАmin</m:t>
                    </m:r>
                  </m:num>
                  <m:den>
                    <m:r>
                      <w:rPr>
                        <w:rFonts w:ascii="Cambria Math" w:hAnsi="Cambria Math"/>
                      </w:rPr>
                      <m:rPr/>
                      <m:t>ЦЕНАi</m:t>
                    </m:r>
                  </m:den>
                </m:f>
                <m:r>
                  <w:rPr>
                    <w:rFonts w:ascii="Cambria Math" w:hAnsi="Cambria Math"/>
                  </w:rPr>
                  <m:rPr/>
                  <m:t>×</m:t>
                </m:r>
                <m:r>
                  <w:rPr>
                    <w:rFonts w:ascii="Cambria Math" w:hAnsi="Cambria Math"/>
                  </w:rPr>
                  <m:rPr/>
                  <m:t>Ш</m:t>
                </m:r>
                <m:r>
                  <w:rPr>
                    <w:rFonts w:ascii="Cambria Math" w:hAnsi="Cambria Math"/>
                  </w:rPr>
                  <m:rPr/>
                  <m:t>,</m:t>
                </m:r>
              </m:oMath>
            </m:oMathPara>
            <w:r>
              <w:rPr>
                <w:rFonts w:ascii="Times New Roman" w:hAnsi="Times New Roman" w:cs="Times New Roman"/>
                <w:sz w:val="22"/>
                <w:szCs w:val="22"/>
              </w:rPr>
            </w:r>
            <w:r>
              <w:rPr>
                <w:rFonts w:ascii="Times New Roman" w:hAnsi="Times New Roman" w:cs="Times New Roman"/>
                <w:sz w:val="22"/>
                <w:szCs w:val="22"/>
              </w:rPr>
            </w:r>
          </w:p>
          <w:p>
            <w:pPr>
              <w:pStyle w:val="1271"/>
              <w:jc w:val="left"/>
              <w:spacing w:before="96" w:after="96" w:line="240" w:lineRule="auto"/>
              <w:widowControl w:val="off"/>
              <w:rPr>
                <w:rFonts w:ascii="Times New Roman" w:hAnsi="Times New Roman" w:cs="Times New Roman"/>
                <w:sz w:val="22"/>
                <w:szCs w:val="22"/>
              </w:rPr>
            </w:pPr>
            <w:r>
              <w:rPr>
                <w:rFonts w:eastAsia="Times New Roman" w:cs="Times New Roman"/>
                <w:sz w:val="18"/>
                <w:szCs w:val="18"/>
                <w:lang w:val="ru-RU" w:eastAsia="en-US" w:bidi="ar-SA"/>
              </w:rPr>
              <w:t xml:space="preserve">где:</w:t>
            </w:r>
            <w:r>
              <w:rPr>
                <w:rFonts w:ascii="Times New Roman" w:hAnsi="Times New Roman" w:cs="Times New Roman"/>
                <w:sz w:val="22"/>
                <w:szCs w:val="22"/>
              </w:rPr>
            </w:r>
            <w:r>
              <w:rPr>
                <w:rFonts w:ascii="Times New Roman" w:hAnsi="Times New Roman" w:cs="Times New Roman"/>
                <w:sz w:val="22"/>
                <w:szCs w:val="22"/>
              </w:rPr>
            </w:r>
          </w:p>
          <w:p>
            <w:pPr>
              <w:pStyle w:val="1369"/>
              <w:numPr>
                <w:ilvl w:val="7"/>
                <w:numId w:val="37"/>
              </w:numPr>
              <w:ind w:left="0" w:right="0" w:firstLine="0"/>
              <w:jc w:val="left"/>
              <w:spacing w:before="120" w:after="0" w:line="240" w:lineRule="auto"/>
              <w:widowControl w:val="off"/>
              <w:rPr>
                <w:rFonts w:ascii="Times New Roman" w:hAnsi="Times New Roman" w:cs="Times New Roman"/>
                <w:sz w:val="22"/>
                <w:szCs w:val="22"/>
              </w:rPr>
            </w:pPr>
            <w:r>
              <w:rPr>
                <w:rFonts w:eastAsia="Times New Roman" w:cs="Times New Roman"/>
                <w:sz w:val="18"/>
                <w:szCs w:val="18"/>
              </w:rPr>
              <w:t xml:space="preserve">Б</w:t>
            </w:r>
            <w:r>
              <w:rPr>
                <w:rFonts w:eastAsia="Times New Roman" w:cs="Times New Roman"/>
                <w:sz w:val="18"/>
                <w:szCs w:val="18"/>
                <w:vertAlign w:val="subscript"/>
              </w:rPr>
              <w:t xml:space="preserve">1</w:t>
            </w:r>
            <w:r>
              <w:rPr>
                <w:rFonts w:eastAsia="Times New Roman" w:cs="Times New Roman"/>
                <w:sz w:val="18"/>
                <w:szCs w:val="18"/>
              </w:rPr>
              <w:t xml:space="preserve"> – рассчитанная оценка предпочтительности по данному частному критерию оценки в баллах;</w:t>
            </w:r>
            <w:r>
              <w:rPr>
                <w:rFonts w:ascii="Times New Roman" w:hAnsi="Times New Roman" w:cs="Times New Roman"/>
                <w:sz w:val="22"/>
                <w:szCs w:val="22"/>
              </w:rPr>
            </w:r>
            <w:r>
              <w:rPr>
                <w:rFonts w:ascii="Times New Roman" w:hAnsi="Times New Roman" w:cs="Times New Roman"/>
                <w:sz w:val="22"/>
                <w:szCs w:val="22"/>
              </w:rPr>
            </w:r>
          </w:p>
          <w:p>
            <w:pPr>
              <w:pStyle w:val="1369"/>
              <w:numPr>
                <w:ilvl w:val="7"/>
                <w:numId w:val="37"/>
              </w:numPr>
              <w:ind w:left="0" w:right="0" w:firstLine="0"/>
              <w:jc w:val="left"/>
              <w:spacing w:before="0" w:after="0" w:line="240" w:lineRule="auto"/>
              <w:widowControl w:val="off"/>
              <w:rPr>
                <w:rFonts w:ascii="Times New Roman" w:hAnsi="Times New Roman" w:cs="Times New Roman"/>
                <w:sz w:val="22"/>
                <w:szCs w:val="22"/>
              </w:rPr>
            </w:pPr>
            <w:r>
              <w:rPr>
                <w:rFonts w:eastAsia="Times New Roman" w:cs="Times New Roman"/>
                <w:sz w:val="18"/>
                <w:szCs w:val="18"/>
              </w:rPr>
              <w:t xml:space="preserve">ЦЕНА</w:t>
            </w:r>
            <w:r>
              <w:rPr>
                <w:rFonts w:eastAsia="Times New Roman" w:cs="Times New Roman"/>
                <w:i/>
                <w:iCs/>
                <w:sz w:val="18"/>
                <w:szCs w:val="18"/>
                <w:vertAlign w:val="subscript"/>
                <w:lang w:val="en-US"/>
              </w:rPr>
              <w:t xml:space="preserve">i</w:t>
            </w:r>
            <w:r>
              <w:rPr>
                <w:rFonts w:eastAsia="Times New Roman" w:cs="Times New Roman"/>
                <w:sz w:val="18"/>
                <w:szCs w:val="18"/>
              </w:rPr>
              <w:t xml:space="preserve">  – цена </w:t>
            </w:r>
            <w:r>
              <w:rPr>
                <w:rFonts w:eastAsia="Times New Roman" w:cs="Times New Roman"/>
                <w:color w:val="000000"/>
                <w:sz w:val="18"/>
                <w:szCs w:val="18"/>
              </w:rPr>
              <w:t xml:space="preserve">договора (заявки), указанная в </w:t>
            </w:r>
            <w:r>
              <w:rPr>
                <w:rFonts w:eastAsia="Times New Roman" w:cs="Times New Roman"/>
                <w:color w:val="000000"/>
                <w:sz w:val="18"/>
                <w:szCs w:val="18"/>
                <w:lang w:val="en-US"/>
              </w:rPr>
              <w:t xml:space="preserve">i</w:t>
            </w:r>
            <w:r>
              <w:rPr>
                <w:rFonts w:eastAsia="Times New Roman" w:cs="Times New Roman"/>
                <w:color w:val="000000"/>
                <w:sz w:val="18"/>
                <w:szCs w:val="18"/>
              </w:rPr>
              <w:t xml:space="preserve">-той заявке (в Коммерческом предложении по установленной в Документации о закупке форме) допущенного Участника (руб. без учета </w:t>
            </w:r>
            <w:r>
              <w:rPr>
                <w:rFonts w:eastAsia="Times New Roman" w:cs="Times New Roman"/>
                <w:sz w:val="18"/>
                <w:szCs w:val="18"/>
              </w:rPr>
              <w:t xml:space="preserve">НДС);</w:t>
            </w:r>
            <w:r>
              <w:rPr>
                <w:rFonts w:ascii="Times New Roman" w:hAnsi="Times New Roman" w:cs="Times New Roman"/>
                <w:sz w:val="22"/>
                <w:szCs w:val="22"/>
              </w:rPr>
            </w:r>
            <w:r>
              <w:rPr>
                <w:rFonts w:ascii="Times New Roman" w:hAnsi="Times New Roman" w:cs="Times New Roman"/>
                <w:sz w:val="22"/>
                <w:szCs w:val="22"/>
              </w:rPr>
            </w:r>
          </w:p>
          <w:p>
            <w:pPr>
              <w:pStyle w:val="1369"/>
              <w:numPr>
                <w:ilvl w:val="7"/>
                <w:numId w:val="37"/>
              </w:numPr>
              <w:ind w:left="0" w:right="0" w:firstLine="0"/>
              <w:jc w:val="left"/>
              <w:spacing w:before="0" w:after="0" w:line="240" w:lineRule="auto"/>
              <w:widowControl w:val="off"/>
              <w:rPr>
                <w:rFonts w:ascii="Times New Roman" w:hAnsi="Times New Roman" w:cs="Times New Roman"/>
                <w:sz w:val="22"/>
                <w:szCs w:val="22"/>
              </w:rPr>
            </w:pPr>
            <w:r>
              <w:rPr>
                <w:rFonts w:eastAsia="Times New Roman" w:cs="Times New Roman"/>
                <w:sz w:val="18"/>
                <w:szCs w:val="18"/>
              </w:rPr>
              <w:t xml:space="preserve">ЦЕНА</w:t>
            </w:r>
            <w:r>
              <w:rPr>
                <w:rFonts w:eastAsia="Times New Roman" w:cs="Times New Roman"/>
                <w:sz w:val="18"/>
                <w:szCs w:val="18"/>
                <w:vertAlign w:val="subscript"/>
                <w:lang w:val="en-US"/>
              </w:rPr>
              <w:t xml:space="preserve">min</w:t>
            </w:r>
            <w:r>
              <w:rPr>
                <w:rFonts w:eastAsia="Times New Roman" w:cs="Times New Roman"/>
                <w:sz w:val="18"/>
                <w:szCs w:val="18"/>
                <w:vertAlign w:val="subscript"/>
              </w:rPr>
              <w:t xml:space="preserve"> </w:t>
            </w:r>
            <w:r>
              <w:rPr>
                <w:rFonts w:eastAsia="Times New Roman" w:cs="Times New Roman"/>
                <w:sz w:val="18"/>
                <w:szCs w:val="18"/>
              </w:rPr>
              <w:t xml:space="preserve">– минимальная цена </w:t>
            </w:r>
            <w:r>
              <w:rPr>
                <w:rFonts w:eastAsia="Times New Roman" w:cs="Times New Roman"/>
                <w:color w:val="000000"/>
                <w:sz w:val="18"/>
                <w:szCs w:val="18"/>
              </w:rPr>
              <w:t xml:space="preserve">договора (заявки)</w:t>
            </w:r>
            <w:r>
              <w:rPr>
                <w:rFonts w:eastAsia="Times New Roman" w:cs="Times New Roman"/>
                <w:sz w:val="18"/>
                <w:szCs w:val="18"/>
              </w:rPr>
              <w:t xml:space="preserve"> среди всех допущенных заявок Участников (</w:t>
            </w:r>
            <w:r>
              <w:rPr>
                <w:rFonts w:eastAsia="Times New Roman" w:cs="Times New Roman"/>
                <w:color w:val="000000"/>
                <w:sz w:val="18"/>
                <w:szCs w:val="18"/>
              </w:rPr>
              <w:t xml:space="preserve">руб. без учета Н</w:t>
            </w:r>
            <w:r>
              <w:rPr>
                <w:rFonts w:eastAsia="Times New Roman" w:cs="Times New Roman"/>
                <w:sz w:val="18"/>
                <w:szCs w:val="18"/>
              </w:rPr>
              <w:t xml:space="preserve">ДС);</w:t>
            </w:r>
            <w:r>
              <w:rPr>
                <w:rFonts w:ascii="Times New Roman" w:hAnsi="Times New Roman" w:cs="Times New Roman"/>
                <w:sz w:val="22"/>
                <w:szCs w:val="22"/>
              </w:rPr>
            </w:r>
            <w:r>
              <w:rPr>
                <w:rFonts w:ascii="Times New Roman" w:hAnsi="Times New Roman" w:cs="Times New Roman"/>
                <w:sz w:val="22"/>
                <w:szCs w:val="22"/>
              </w:rPr>
            </w:r>
          </w:p>
          <w:p>
            <w:pPr>
              <w:pStyle w:val="1369"/>
              <w:numPr>
                <w:ilvl w:val="7"/>
                <w:numId w:val="37"/>
              </w:numPr>
              <w:ind w:left="0" w:right="0" w:firstLine="0"/>
              <w:jc w:val="left"/>
              <w:spacing w:before="0" w:after="0" w:line="240" w:lineRule="auto"/>
              <w:widowControl w:val="off"/>
              <w:rPr>
                <w:rFonts w:ascii="Times New Roman" w:hAnsi="Times New Roman" w:cs="Times New Roman"/>
                <w:sz w:val="22"/>
                <w:szCs w:val="22"/>
              </w:rPr>
            </w:pPr>
            <w:r>
              <w:rPr>
                <w:rFonts w:eastAsia="Times New Roman" w:cs="Times New Roman"/>
                <w:sz w:val="18"/>
                <w:szCs w:val="18"/>
              </w:rPr>
              <w:t xml:space="preserve">Ш – максимально возможный балл (максимальная возможная оценка предпочтительности) </w:t>
            </w:r>
            <w:r>
              <w:rPr>
                <w:rFonts w:eastAsia="Times New Roman" w:cs="Times New Roman"/>
                <w:color w:val="000000"/>
                <w:sz w:val="18"/>
                <w:szCs w:val="18"/>
              </w:rPr>
              <w:t xml:space="preserve">по шкал</w:t>
            </w:r>
            <w:r>
              <w:rPr>
                <w:rFonts w:eastAsia="Times New Roman" w:cs="Times New Roman"/>
                <w:sz w:val="18"/>
                <w:szCs w:val="18"/>
              </w:rPr>
              <w:t xml:space="preserve">е оценок (Ш = 5).</w:t>
            </w:r>
            <w:r>
              <w:rPr>
                <w:rFonts w:ascii="Times New Roman" w:hAnsi="Times New Roman" w:cs="Times New Roman"/>
                <w:sz w:val="22"/>
                <w:szCs w:val="22"/>
              </w:rPr>
            </w:r>
            <w:r>
              <w:rPr>
                <w:rFonts w:ascii="Times New Roman" w:hAnsi="Times New Roman" w:cs="Times New Roman"/>
                <w:sz w:val="22"/>
                <w:szCs w:val="22"/>
              </w:rPr>
            </w:r>
          </w:p>
          <w:p>
            <w:pPr>
              <w:pStyle w:val="1369"/>
              <w:numPr>
                <w:ilvl w:val="7"/>
                <w:numId w:val="37"/>
              </w:numPr>
              <w:ind w:left="0" w:right="0" w:firstLine="0"/>
              <w:jc w:val="left"/>
              <w:spacing w:before="0" w:after="0" w:line="240" w:lineRule="auto"/>
              <w:widowControl w:val="off"/>
              <w:rPr>
                <w:rFonts w:ascii="Times New Roman" w:hAnsi="Times New Roman" w:cs="Times New Roman"/>
                <w:sz w:val="22"/>
                <w:szCs w:val="22"/>
              </w:rPr>
            </w:pPr>
            <w:r>
              <w:rPr>
                <w:rFonts w:eastAsia="Times New Roman" w:cs="Times New Roman"/>
                <w:sz w:val="18"/>
                <w:szCs w:val="18"/>
              </w:rPr>
              <w:t xml:space="preserve">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w:t>
            </w:r>
            <w:r>
              <w:rPr>
                <w:rFonts w:ascii="Times New Roman" w:hAnsi="Times New Roman" w:cs="Times New Roman"/>
                <w:sz w:val="22"/>
                <w:szCs w:val="22"/>
              </w:rPr>
            </w:r>
            <w:r>
              <w:rPr>
                <w:rFonts w:ascii="Times New Roman" w:hAnsi="Times New Roman" w:cs="Times New Roman"/>
                <w:sz w:val="22"/>
                <w:szCs w:val="22"/>
              </w:rPr>
            </w:r>
          </w:p>
          <w:p>
            <w:pPr>
              <w:pStyle w:val="1369"/>
              <w:numPr>
                <w:ilvl w:val="7"/>
                <w:numId w:val="37"/>
              </w:numPr>
              <w:ind w:left="0" w:right="0" w:firstLine="0"/>
              <w:jc w:val="left"/>
              <w:spacing w:before="0" w:after="0" w:line="240" w:lineRule="auto"/>
              <w:widowControl w:val="off"/>
              <w:rPr>
                <w:rFonts w:ascii="Times New Roman" w:hAnsi="Times New Roman" w:cs="Times New Roman"/>
                <w:sz w:val="22"/>
                <w:szCs w:val="22"/>
              </w:rPr>
            </w:pPr>
            <w:r>
              <w:rPr>
                <w:rFonts w:eastAsia="Times New Roman" w:cs="Times New Roman"/>
                <w:sz w:val="18"/>
                <w:szCs w:val="18"/>
              </w:rPr>
              <w:t xml:space="preserve">В случае, если Участник действует по упрощенной системе налогообложения, к таким Участникам так же применяется базис сопоставления ценовых (стоимостных) предложений - без учета НДС.</w:t>
            </w:r>
            <w:r>
              <w:rPr>
                <w:rFonts w:ascii="Times New Roman" w:hAnsi="Times New Roman" w:cs="Times New Roman"/>
                <w:sz w:val="22"/>
                <w:szCs w:val="22"/>
              </w:rPr>
            </w:r>
            <w:r>
              <w:rPr>
                <w:rFonts w:ascii="Times New Roman" w:hAnsi="Times New Roman" w:cs="Times New Roman"/>
                <w:sz w:val="22"/>
                <w:szCs w:val="22"/>
              </w:rPr>
            </w:r>
          </w:p>
          <w:p>
            <w:pPr>
              <w:pStyle w:val="1370"/>
              <w:jc w:val="left"/>
              <w:spacing w:before="0" w:after="60"/>
              <w:widowControl w:val="off"/>
              <w:rPr>
                <w:rFonts w:ascii="Times New Roman" w:hAnsi="Times New Roman" w:cs="Times New Roman"/>
                <w:sz w:val="22"/>
                <w:szCs w:val="22"/>
              </w:rPr>
            </w:pPr>
            <w:r>
              <w:rPr>
                <w:rFonts w:ascii="Times New Roman" w:hAnsi="Times New Roman" w:eastAsia="Times New Roman" w:cs="Times New Roman"/>
                <w:sz w:val="18"/>
                <w:szCs w:val="18"/>
              </w:rPr>
              <w:t xml:space="preserve">Шкала оценок от 0 до 5 баллов.</w:t>
            </w:r>
            <w:r>
              <w:rPr>
                <w:rFonts w:ascii="Times New Roman" w:hAnsi="Times New Roman" w:cs="Times New Roman"/>
                <w:sz w:val="22"/>
                <w:szCs w:val="22"/>
              </w:rPr>
            </w:r>
            <w:r>
              <w:rPr>
                <w:rFonts w:ascii="Times New Roman" w:hAnsi="Times New Roman" w:cs="Times New Roman"/>
                <w:sz w:val="22"/>
                <w:szCs w:val="22"/>
              </w:rPr>
            </w:r>
          </w:p>
        </w:tc>
      </w:tr>
      <w:tr>
        <w:tblPrEx/>
        <w:trPr/>
        <w:tc>
          <w:tcPr>
            <w:tcW w:w="1099" w:type="dxa"/>
            <w:textDirection w:val="lrTb"/>
            <w:noWrap w:val="false"/>
          </w:tcPr>
          <w:p>
            <w:pPr>
              <w:pStyle w:val="1271"/>
              <w:jc w:val="left"/>
              <w:spacing w:before="60" w:after="60" w:line="240" w:lineRule="auto"/>
              <w:widowControl w:val="off"/>
              <w:rPr>
                <w:sz w:val="18"/>
                <w:szCs w:val="18"/>
              </w:rPr>
            </w:pPr>
            <w:r>
              <w:rPr>
                <w:rFonts w:eastAsia="Calibri" w:cs="Arial"/>
                <w:sz w:val="18"/>
                <w:szCs w:val="18"/>
                <w:lang w:val="ru-RU" w:eastAsia="en-US" w:bidi="ar-SA"/>
              </w:rPr>
              <w:t xml:space="preserve">2. </w:t>
            </w:r>
            <w:r>
              <w:rPr>
                <w:sz w:val="18"/>
                <w:szCs w:val="18"/>
              </w:rPr>
            </w:r>
            <w:r>
              <w:rPr>
                <w:sz w:val="18"/>
                <w:szCs w:val="18"/>
              </w:rPr>
            </w:r>
          </w:p>
        </w:tc>
        <w:tc>
          <w:tcPr>
            <w:tcW w:w="1454" w:type="dxa"/>
            <w:textDirection w:val="lrTb"/>
            <w:noWrap w:val="false"/>
          </w:tcPr>
          <w:p>
            <w:pPr>
              <w:pStyle w:val="1369"/>
              <w:numPr>
                <w:ilvl w:val="7"/>
                <w:numId w:val="38"/>
              </w:numPr>
              <w:ind w:left="0" w:right="0" w:firstLine="0"/>
              <w:jc w:val="left"/>
              <w:spacing w:before="40" w:after="40" w:line="240" w:lineRule="auto"/>
              <w:widowControl w:val="off"/>
              <w:rPr>
                <w:rFonts w:ascii="Times New Roman" w:hAnsi="Times New Roman" w:cs="Times New Roman"/>
                <w:sz w:val="22"/>
                <w:szCs w:val="22"/>
              </w:rPr>
            </w:pPr>
            <w:r>
              <w:rPr>
                <w:rFonts w:eastAsia="Times New Roman" w:cs="Times New Roman"/>
                <w:sz w:val="18"/>
                <w:szCs w:val="18"/>
                <w:lang w:eastAsia="ru-RU"/>
              </w:rPr>
              <w:t xml:space="preserve">Неценовой критерий оценки первого уровня /ТЕХ</w:t>
            </w:r>
            <w:r>
              <w:rPr>
                <w:rFonts w:ascii="Times New Roman" w:hAnsi="Times New Roman" w:cs="Times New Roman"/>
                <w:sz w:val="22"/>
                <w:szCs w:val="22"/>
              </w:rPr>
            </w:r>
            <w:r>
              <w:rPr>
                <w:rFonts w:ascii="Times New Roman" w:hAnsi="Times New Roman" w:cs="Times New Roman"/>
                <w:sz w:val="22"/>
                <w:szCs w:val="22"/>
              </w:rPr>
            </w:r>
          </w:p>
        </w:tc>
        <w:tc>
          <w:tcPr>
            <w:tcW w:w="1345" w:type="dxa"/>
            <w:textDirection w:val="lrTb"/>
            <w:noWrap w:val="false"/>
          </w:tcPr>
          <w:p>
            <w:pPr>
              <w:pStyle w:val="1369"/>
              <w:numPr>
                <w:ilvl w:val="7"/>
                <w:numId w:val="38"/>
              </w:numPr>
              <w:ind w:left="0" w:right="0" w:firstLine="0"/>
              <w:jc w:val="left"/>
              <w:spacing w:before="40" w:after="40" w:line="240" w:lineRule="auto"/>
              <w:widowControl w:val="off"/>
              <w:rPr>
                <w:rFonts w:ascii="Times New Roman" w:hAnsi="Times New Roman" w:cs="Times New Roman"/>
                <w:sz w:val="22"/>
                <w:szCs w:val="22"/>
              </w:rPr>
            </w:pPr>
            <w:r>
              <w:rPr>
                <w:rFonts w:eastAsia="Times New Roman" w:cs="Times New Roman"/>
                <w:sz w:val="18"/>
                <w:szCs w:val="18"/>
              </w:rPr>
              <w:t xml:space="preserve">Квалификация (предпочтительность) участника</w:t>
            </w:r>
            <w:r>
              <w:rPr>
                <w:rFonts w:ascii="Times New Roman" w:hAnsi="Times New Roman" w:cs="Times New Roman"/>
                <w:sz w:val="22"/>
                <w:szCs w:val="22"/>
              </w:rPr>
            </w:r>
            <w:r>
              <w:rPr>
                <w:rFonts w:ascii="Times New Roman" w:hAnsi="Times New Roman" w:cs="Times New Roman"/>
                <w:sz w:val="22"/>
                <w:szCs w:val="22"/>
              </w:rPr>
            </w:r>
          </w:p>
        </w:tc>
        <w:tc>
          <w:tcPr>
            <w:tcW w:w="1064" w:type="dxa"/>
            <w:textDirection w:val="lrTb"/>
            <w:noWrap w:val="false"/>
          </w:tcPr>
          <w:p>
            <w:pPr>
              <w:pStyle w:val="1369"/>
              <w:numPr>
                <w:ilvl w:val="7"/>
                <w:numId w:val="39"/>
              </w:numPr>
              <w:ind w:left="0" w:right="0" w:firstLine="0"/>
              <w:jc w:val="center"/>
              <w:spacing w:before="40" w:after="40" w:line="240" w:lineRule="auto"/>
              <w:widowControl w:val="off"/>
              <w:rPr>
                <w:rFonts w:ascii="Times New Roman" w:hAnsi="Times New Roman" w:cs="Times New Roman"/>
                <w:sz w:val="22"/>
                <w:szCs w:val="22"/>
              </w:rPr>
            </w:pPr>
            <w:r>
              <w:rPr>
                <w:rFonts w:eastAsia="Times New Roman" w:cs="Times New Roman"/>
                <w:sz w:val="18"/>
                <w:szCs w:val="18"/>
              </w:rPr>
              <w:t xml:space="preserve">отсутствует</w:t>
            </w:r>
            <w:r>
              <w:rPr>
                <w:rFonts w:ascii="Times New Roman" w:hAnsi="Times New Roman" w:cs="Times New Roman"/>
                <w:sz w:val="22"/>
                <w:szCs w:val="22"/>
              </w:rPr>
            </w:r>
            <w:r>
              <w:rPr>
                <w:rFonts w:ascii="Times New Roman" w:hAnsi="Times New Roman" w:cs="Times New Roman"/>
                <w:sz w:val="22"/>
                <w:szCs w:val="22"/>
              </w:rPr>
            </w:r>
          </w:p>
        </w:tc>
        <w:tc>
          <w:tcPr>
            <w:tcW w:w="1171" w:type="dxa"/>
            <w:textDirection w:val="lrTb"/>
            <w:noWrap w:val="false"/>
          </w:tcPr>
          <w:p>
            <w:pPr>
              <w:pStyle w:val="1271"/>
              <w:ind w:left="-110" w:firstLine="0"/>
              <w:jc w:val="center"/>
              <w:spacing w:before="40" w:after="40" w:line="240" w:lineRule="auto"/>
              <w:widowControl w:val="off"/>
              <w:rPr>
                <w:rFonts w:ascii="Times New Roman" w:hAnsi="Times New Roman" w:cs="Times New Roman"/>
                <w:sz w:val="22"/>
                <w:szCs w:val="22"/>
              </w:rPr>
            </w:pPr>
            <w:r>
              <w:rPr>
                <w:rFonts w:eastAsia="Times New Roman" w:cs="Times New Roman"/>
                <w:sz w:val="18"/>
                <w:szCs w:val="18"/>
                <w:lang w:val="ru-RU" w:eastAsia="en-US" w:bidi="ar-SA"/>
              </w:rPr>
              <w:t xml:space="preserve">20%</w:t>
            </w:r>
            <w:r>
              <w:rPr>
                <w:rFonts w:ascii="Times New Roman" w:hAnsi="Times New Roman" w:cs="Times New Roman"/>
                <w:sz w:val="22"/>
                <w:szCs w:val="22"/>
              </w:rPr>
            </w:r>
            <w:r>
              <w:rPr>
                <w:rFonts w:ascii="Times New Roman" w:hAnsi="Times New Roman" w:cs="Times New Roman"/>
                <w:sz w:val="22"/>
                <w:szCs w:val="22"/>
              </w:rPr>
            </w:r>
          </w:p>
          <w:p>
            <w:pPr>
              <w:pStyle w:val="1369"/>
              <w:numPr>
                <w:ilvl w:val="7"/>
                <w:numId w:val="39"/>
              </w:numPr>
              <w:ind w:left="0" w:right="0" w:firstLine="0"/>
              <w:jc w:val="center"/>
              <w:spacing w:before="40" w:after="40" w:line="240" w:lineRule="auto"/>
              <w:widowControl w:val="off"/>
              <w:rPr>
                <w:rFonts w:ascii="Times New Roman" w:hAnsi="Times New Roman" w:cs="Times New Roman"/>
                <w:sz w:val="22"/>
                <w:szCs w:val="22"/>
              </w:rPr>
            </w:pPr>
            <w:r>
              <w:rPr>
                <w:rFonts w:eastAsia="Times New Roman" w:cs="Times New Roman"/>
                <w:sz w:val="18"/>
                <w:szCs w:val="18"/>
              </w:rPr>
              <w:t xml:space="preserve">(В</w:t>
            </w:r>
            <w:r>
              <w:rPr>
                <w:rFonts w:eastAsia="Times New Roman" w:cs="Times New Roman"/>
                <w:sz w:val="18"/>
                <w:szCs w:val="18"/>
                <w:vertAlign w:val="subscript"/>
              </w:rPr>
              <w:t xml:space="preserve">2</w:t>
            </w:r>
            <w:r>
              <w:rPr>
                <w:rFonts w:eastAsia="Times New Roman" w:cs="Times New Roman"/>
                <w:sz w:val="18"/>
                <w:szCs w:val="18"/>
              </w:rPr>
              <w:t xml:space="preserve"> = 0,20)</w:t>
            </w:r>
            <w:r>
              <w:rPr>
                <w:rFonts w:ascii="Times New Roman" w:hAnsi="Times New Roman" w:cs="Times New Roman"/>
                <w:sz w:val="22"/>
                <w:szCs w:val="22"/>
              </w:rPr>
            </w:r>
            <w:r>
              <w:rPr>
                <w:rFonts w:ascii="Times New Roman" w:hAnsi="Times New Roman" w:cs="Times New Roman"/>
                <w:sz w:val="22"/>
                <w:szCs w:val="22"/>
              </w:rPr>
            </w:r>
          </w:p>
        </w:tc>
        <w:tc>
          <w:tcPr>
            <w:tcW w:w="1984" w:type="dxa"/>
            <w:textDirection w:val="lrTb"/>
            <w:noWrap w:val="false"/>
          </w:tcPr>
          <w:p>
            <w:pPr>
              <w:pStyle w:val="1369"/>
              <w:numPr>
                <w:ilvl w:val="7"/>
                <w:numId w:val="39"/>
              </w:numPr>
              <w:ind w:left="0" w:right="0" w:firstLine="0"/>
              <w:jc w:val="center"/>
              <w:spacing w:before="40" w:after="40" w:line="240" w:lineRule="auto"/>
              <w:widowControl w:val="off"/>
              <w:rPr>
                <w:rFonts w:ascii="Times New Roman" w:hAnsi="Times New Roman" w:cs="Times New Roman"/>
                <w:sz w:val="22"/>
                <w:szCs w:val="22"/>
              </w:rPr>
            </w:pPr>
            <w:r>
              <w:rPr>
                <w:rFonts w:eastAsia="Times New Roman" w:cs="Times New Roman"/>
                <w:sz w:val="18"/>
                <w:szCs w:val="18"/>
              </w:rPr>
              <w:t xml:space="preserve">Отношение Участника закупки к изготовителю предлагаемой продукции</w:t>
            </w:r>
            <w:r>
              <w:rPr>
                <w:rFonts w:ascii="Times New Roman" w:hAnsi="Times New Roman" w:cs="Times New Roman"/>
                <w:sz w:val="22"/>
                <w:szCs w:val="22"/>
              </w:rPr>
            </w:r>
            <w:r>
              <w:rPr>
                <w:rFonts w:ascii="Times New Roman" w:hAnsi="Times New Roman" w:cs="Times New Roman"/>
                <w:sz w:val="22"/>
                <w:szCs w:val="22"/>
              </w:rPr>
            </w:r>
          </w:p>
        </w:tc>
        <w:tc>
          <w:tcPr>
            <w:tcW w:w="7285" w:type="dxa"/>
            <w:textDirection w:val="lrTb"/>
            <w:noWrap w:val="false"/>
          </w:tcPr>
          <w:p>
            <w:pPr>
              <w:pStyle w:val="1271"/>
              <w:ind w:firstLine="0"/>
              <w:jc w:val="left"/>
              <w:spacing w:before="96" w:after="96" w:line="240" w:lineRule="auto"/>
              <w:widowControl w:val="off"/>
              <w:rPr>
                <w:rFonts w:ascii="Times New Roman" w:hAnsi="Times New Roman" w:cs="Times New Roman"/>
                <w:sz w:val="22"/>
                <w:szCs w:val="22"/>
              </w:rPr>
            </w:pPr>
            <w:r>
              <w:rPr>
                <w:rFonts w:eastAsia="Times New Roman" w:cs="Times New Roman"/>
                <w:sz w:val="18"/>
                <w:szCs w:val="18"/>
                <w:lang w:val="ru-RU" w:eastAsia="en-US" w:bidi="ar-SA"/>
              </w:rPr>
              <w:t xml:space="preserve">Расчет оценки предпочтительности по частному критерию по методу «Оценка предпочтительности посредством однозначной числовой шкалы измерений».</w:t>
            </w:r>
            <w:r>
              <w:rPr>
                <w:rFonts w:ascii="Times New Roman" w:hAnsi="Times New Roman" w:cs="Times New Roman"/>
                <w:sz w:val="22"/>
                <w:szCs w:val="22"/>
              </w:rPr>
            </w:r>
            <w:r>
              <w:rPr>
                <w:rFonts w:ascii="Times New Roman" w:hAnsi="Times New Roman" w:cs="Times New Roman"/>
                <w:sz w:val="22"/>
                <w:szCs w:val="22"/>
              </w:rPr>
            </w:r>
          </w:p>
          <w:p>
            <w:pPr>
              <w:pStyle w:val="1271"/>
              <w:ind w:firstLine="0"/>
              <w:jc w:val="left"/>
              <w:spacing w:before="40" w:after="40" w:line="240" w:lineRule="auto"/>
              <w:widowControl w:val="off"/>
              <w:rPr>
                <w:rFonts w:ascii="Times New Roman" w:hAnsi="Times New Roman" w:cs="Times New Roman"/>
                <w:sz w:val="22"/>
                <w:szCs w:val="22"/>
              </w:rPr>
            </w:pPr>
            <w:r>
              <w:rPr>
                <w:rFonts w:eastAsia="Times New Roman" w:cs="Times New Roman"/>
                <w:sz w:val="18"/>
                <w:szCs w:val="18"/>
                <w:lang w:val="ru-RU" w:eastAsia="en-US" w:bidi="ar-SA"/>
              </w:rPr>
              <w:t xml:space="preserve">Порядок осуществления оценки (значение оцениваемого параметра) - в зависимости от предоставленных в </w:t>
            </w:r>
            <w:r>
              <w:rPr>
                <w:rFonts w:eastAsia="Times New Roman" w:cs="Times New Roman"/>
                <w:i/>
                <w:sz w:val="18"/>
                <w:szCs w:val="18"/>
                <w:lang w:val="ru-RU" w:eastAsia="en-US" w:bidi="ar-SA"/>
              </w:rPr>
              <w:t xml:space="preserve">i</w:t>
            </w:r>
            <w:r>
              <w:rPr>
                <w:rFonts w:eastAsia="Times New Roman" w:cs="Times New Roman"/>
                <w:sz w:val="18"/>
                <w:szCs w:val="18"/>
                <w:lang w:val="ru-RU" w:eastAsia="en-US" w:bidi="ar-SA"/>
              </w:rPr>
              <w:t xml:space="preserve">-ой заявке копий документов, подтверждающих статус Участника</w:t>
            </w:r>
            <w:r>
              <w:rPr>
                <w:rStyle w:val="1307"/>
                <w:rFonts w:eastAsia="Times New Roman" w:cs="Times New Roman"/>
                <w:sz w:val="18"/>
                <w:szCs w:val="18"/>
                <w:lang w:val="ru-RU" w:eastAsia="en-US" w:bidi="ar-SA"/>
              </w:rPr>
              <w:footnoteReference w:id="16"/>
            </w:r>
            <w:r>
              <w:rPr>
                <w:rFonts w:eastAsia="Times New Roman" w:cs="Times New Roman"/>
                <w:sz w:val="18"/>
                <w:szCs w:val="18"/>
                <w:lang w:val="ru-RU" w:eastAsia="en-US" w:bidi="ar-SA"/>
              </w:rPr>
              <w:t xml:space="preserve">*:</w:t>
            </w:r>
            <w:r>
              <w:rPr>
                <w:rFonts w:ascii="Times New Roman" w:hAnsi="Times New Roman" w:cs="Times New Roman"/>
                <w:sz w:val="22"/>
                <w:szCs w:val="22"/>
              </w:rPr>
            </w:r>
            <w:r>
              <w:rPr>
                <w:rFonts w:ascii="Times New Roman" w:hAnsi="Times New Roman" w:cs="Times New Roman"/>
                <w:sz w:val="22"/>
                <w:szCs w:val="22"/>
              </w:rPr>
            </w:r>
          </w:p>
          <w:p>
            <w:pPr>
              <w:pStyle w:val="1271"/>
              <w:ind w:firstLine="0"/>
              <w:jc w:val="left"/>
              <w:spacing w:before="40" w:after="40" w:line="240" w:lineRule="auto"/>
              <w:widowControl w:val="off"/>
              <w:rPr>
                <w:rFonts w:ascii="Times New Roman" w:hAnsi="Times New Roman" w:cs="Times New Roman"/>
                <w:sz w:val="22"/>
                <w:szCs w:val="22"/>
              </w:rPr>
            </w:pPr>
            <w:r>
              <w:rPr>
                <w:rFonts w:eastAsia="Times New Roman" w:cs="Times New Roman"/>
                <w:sz w:val="18"/>
                <w:szCs w:val="18"/>
                <w:lang w:val="ru-RU" w:eastAsia="en-US" w:bidi="ar-SA"/>
              </w:rPr>
              <w:t xml:space="preserve">П</w:t>
            </w:r>
            <w:r>
              <w:rPr>
                <w:rFonts w:eastAsia="Times New Roman" w:cs="Times New Roman"/>
                <w:sz w:val="18"/>
                <w:szCs w:val="18"/>
                <w:lang w:val="ru-RU" w:eastAsia="en-US" w:bidi="ar-SA"/>
              </w:rPr>
              <w:t xml:space="preserve">ри оценке участника критерий оценки «Отношение Участника закупки к изготовителю (производителю) предлагаемой продукции (в том числе её части)» применяется с учетом объема (по стоимости) предлагаемой Участником в данном статусе продукции (товара), при этом:</w:t>
            </w:r>
            <w:r>
              <w:rPr>
                <w:rFonts w:ascii="Times New Roman" w:hAnsi="Times New Roman" w:cs="Times New Roman"/>
                <w:sz w:val="22"/>
                <w:szCs w:val="22"/>
              </w:rPr>
            </w:r>
            <w:r>
              <w:rPr>
                <w:rFonts w:ascii="Times New Roman" w:hAnsi="Times New Roman" w:cs="Times New Roman"/>
                <w:sz w:val="22"/>
                <w:szCs w:val="22"/>
              </w:rPr>
            </w:r>
          </w:p>
          <w:p>
            <w:pPr>
              <w:pStyle w:val="1271"/>
              <w:ind w:firstLine="201"/>
              <w:jc w:val="left"/>
              <w:spacing w:before="40" w:after="40" w:line="240" w:lineRule="auto"/>
              <w:widowControl w:val="off"/>
              <w:rPr>
                <w:rFonts w:ascii="Times New Roman" w:hAnsi="Times New Roman" w:cs="Times New Roman"/>
                <w:sz w:val="22"/>
                <w:szCs w:val="22"/>
              </w:rPr>
            </w:pPr>
            <w:r/>
            <m:oMathPara>
              <m:oMathParaPr>
                <m:jc m:val="left"/>
              </m:oMathParaPr>
              <m:oMath>
                <m:sSub>
                  <m:sSubPr>
                    <m:ctrlPr/>
                  </m:sSubPr>
                  <m:e>
                    <m:r>
                      <w:rPr>
                        <w:rFonts w:ascii="Cambria Math" w:hAnsi="Cambria Math"/>
                      </w:rPr>
                      <m:rPr/>
                      <m:t>Б</m:t>
                    </m:r>
                  </m:e>
                  <m:sub>
                    <m:r>
                      <w:rPr>
                        <w:rFonts w:ascii="Cambria Math" w:hAnsi="Cambria Math"/>
                      </w:rPr>
                      <m:rPr/>
                      <m:t>r</m:t>
                    </m:r>
                  </m:sub>
                </m:sSub>
                <m:r>
                  <w:rPr>
                    <w:rFonts w:ascii="Cambria Math" w:hAnsi="Cambria Math"/>
                  </w:rPr>
                  <m:rPr/>
                  <m:t>=</m:t>
                </m:r>
                <m:nary>
                  <m:naryPr>
                    <m:chr m:val="∑"/>
                    <m:grow m:val="off"/>
                    <m:ctrlPr/>
                  </m:naryPr>
                  <m:sub>
                    <m:r>
                      <w:rPr>
                        <w:rFonts w:ascii="Cambria Math" w:hAnsi="Cambria Math"/>
                      </w:rPr>
                      <m:rPr/>
                      <m:t>k</m:t>
                    </m:r>
                    <m:r>
                      <w:rPr>
                        <w:rFonts w:ascii="Cambria Math" w:hAnsi="Cambria Math"/>
                      </w:rPr>
                      <m:rPr/>
                      <m:t>=</m:t>
                    </m:r>
                    <m:r>
                      <w:rPr>
                        <w:rFonts w:ascii="Cambria Math" w:hAnsi="Cambria Math"/>
                      </w:rPr>
                      <m:rPr/>
                      <m:t>1</m:t>
                    </m:r>
                  </m:sub>
                  <m:sup>
                    <m:r>
                      <w:rPr>
                        <w:rFonts w:ascii="Cambria Math" w:hAnsi="Cambria Math"/>
                      </w:rPr>
                      <m:rPr/>
                      <m:t>n</m:t>
                    </m:r>
                  </m:sup>
                  <m:e>
                    <m:sSub>
                      <m:sSubPr>
                        <m:ctrlPr/>
                      </m:sSubPr>
                      <m:e>
                        <m:r>
                          <w:rPr>
                            <w:rFonts w:ascii="Cambria Math" w:hAnsi="Cambria Math"/>
                          </w:rPr>
                          <m:rPr/>
                          <m:t>k</m:t>
                        </m:r>
                      </m:e>
                      <m:sub>
                        <m:r>
                          <w:rPr>
                            <w:rFonts w:ascii="Cambria Math" w:hAnsi="Cambria Math"/>
                          </w:rPr>
                          <m:rPr/>
                          <m:t>i</m:t>
                        </m:r>
                      </m:sub>
                    </m:sSub>
                    <m:r>
                      <w:rPr>
                        <w:rFonts w:ascii="Cambria Math" w:hAnsi="Cambria Math"/>
                      </w:rPr>
                      <m:rPr/>
                      <m:t>∗</m:t>
                    </m:r>
                    <m:sSub>
                      <m:sSubPr>
                        <m:ctrlPr/>
                      </m:sSubPr>
                      <m:e>
                        <m:r>
                          <w:rPr>
                            <w:rFonts w:ascii="Cambria Math" w:hAnsi="Cambria Math"/>
                          </w:rPr>
                          <m:rPr/>
                          <m:t>Б</m:t>
                        </m:r>
                      </m:e>
                      <m:sub>
                        <m:r>
                          <w:rPr>
                            <w:rFonts w:ascii="Cambria Math" w:hAnsi="Cambria Math"/>
                          </w:rPr>
                          <m:rPr/>
                          <m:t>i</m:t>
                        </m:r>
                      </m:sub>
                    </m:sSub>
                  </m:e>
                </m:nary>
              </m:oMath>
            </m:oMathPara>
            <w:r>
              <w:rPr>
                <w:rFonts w:ascii="Times New Roman" w:hAnsi="Times New Roman" w:cs="Times New Roman"/>
                <w:sz w:val="22"/>
                <w:szCs w:val="22"/>
              </w:rPr>
            </w:r>
            <w:r>
              <w:rPr>
                <w:rFonts w:ascii="Times New Roman" w:hAnsi="Times New Roman" w:cs="Times New Roman"/>
                <w:sz w:val="22"/>
                <w:szCs w:val="22"/>
              </w:rPr>
            </w:r>
          </w:p>
          <w:tbl>
            <w:tblPr>
              <w:tblW w:w="7074" w:type="dxa"/>
              <w:tblInd w:w="0" w:type="dxa"/>
              <w:tblLayout w:type="fixed"/>
              <w:tblCellMar>
                <w:left w:w="108" w:type="dxa"/>
                <w:top w:w="0" w:type="dxa"/>
                <w:right w:w="108" w:type="dxa"/>
                <w:bottom w:w="0" w:type="dxa"/>
              </w:tblCellMar>
              <w:tblLook w:val="04A0" w:firstRow="1" w:lastRow="0" w:firstColumn="1" w:lastColumn="0" w:noHBand="0" w:noVBand="1"/>
            </w:tblPr>
            <w:tblGrid>
              <w:gridCol w:w="872"/>
              <w:gridCol w:w="6201"/>
            </w:tblGrid>
            <w:tr>
              <w:tblPrEx/>
              <w:trPr>
                <w:cantSplit/>
                <w:trHeight w:val="309"/>
              </w:trPr>
              <w:tc>
                <w:tcPr>
                  <w:shd w:val="clear" w:color="ffffff" w:fill="ffffff" w:themeFill="background1"/>
                  <w:tcBorders>
                    <w:top w:val="single" w:color="000000" w:sz="4" w:space="0"/>
                    <w:left w:val="single" w:color="000000" w:sz="4" w:space="0"/>
                    <w:bottom w:val="single" w:color="000000" w:sz="4" w:space="0"/>
                    <w:right w:val="single" w:color="000000" w:sz="4" w:space="0"/>
                  </w:tcBorders>
                  <w:tcW w:w="872" w:type="dxa"/>
                  <w:textDirection w:val="lrTb"/>
                  <w:noWrap w:val="false"/>
                </w:tcPr>
                <w:p>
                  <w:pPr>
                    <w:pStyle w:val="1271"/>
                    <w:ind w:firstLine="0"/>
                    <w:jc w:val="left"/>
                    <w:spacing w:before="120" w:after="0"/>
                    <w:widowControl w:val="off"/>
                    <w:rPr>
                      <w:rFonts w:ascii="Times New Roman" w:hAnsi="Times New Roman" w:cs="Times New Roman"/>
                      <w:sz w:val="22"/>
                      <w:szCs w:val="22"/>
                    </w:rPr>
                  </w:pPr>
                  <w:r>
                    <w:rPr>
                      <w:rFonts w:eastAsia="Times New Roman" w:cs="Times New Roman"/>
                      <w:sz w:val="18"/>
                      <w:szCs w:val="18"/>
                    </w:rPr>
                    <w:t xml:space="preserve">Б</w:t>
                  </w:r>
                  <w:r>
                    <w:rPr>
                      <w:rFonts w:eastAsia="Times New Roman" w:cs="Times New Roman"/>
                      <w:sz w:val="18"/>
                      <w:szCs w:val="18"/>
                      <w:vertAlign w:val="subscript"/>
                    </w:rPr>
                    <w:t xml:space="preserve">i</w:t>
                  </w:r>
                  <w:r>
                    <w:rPr>
                      <w:rFonts w:eastAsia="Times New Roman" w:cs="Times New Roman"/>
                      <w:sz w:val="18"/>
                      <w:szCs w:val="18"/>
                    </w:rPr>
                    <w:t xml:space="preserve">= 0</w:t>
                  </w:r>
                  <w:r>
                    <w:rPr>
                      <w:rFonts w:ascii="Times New Roman" w:hAnsi="Times New Roman" w:cs="Times New Roman"/>
                      <w:sz w:val="22"/>
                      <w:szCs w:val="22"/>
                    </w:rPr>
                  </w:r>
                  <w:r>
                    <w:rPr>
                      <w:rFonts w:ascii="Times New Roman" w:hAnsi="Times New Roman" w:cs="Times New Roman"/>
                      <w:sz w:val="22"/>
                      <w:szCs w:val="22"/>
                    </w:rPr>
                  </w:r>
                </w:p>
              </w:tc>
              <w:tc>
                <w:tcPr>
                  <w:shd w:val="clear" w:color="ffffff" w:fill="ffffff" w:themeFill="background1"/>
                  <w:tcBorders>
                    <w:top w:val="single" w:color="000000" w:sz="4" w:space="0"/>
                    <w:left w:val="single" w:color="000000" w:sz="4" w:space="0"/>
                    <w:bottom w:val="single" w:color="000000" w:sz="4" w:space="0"/>
                    <w:right w:val="single" w:color="000000" w:sz="4" w:space="0"/>
                  </w:tcBorders>
                  <w:tcW w:w="6201" w:type="dxa"/>
                  <w:textDirection w:val="lrTb"/>
                  <w:noWrap w:val="false"/>
                </w:tcPr>
                <w:p>
                  <w:pPr>
                    <w:pStyle w:val="1271"/>
                    <w:numPr>
                      <w:ilvl w:val="0"/>
                      <w:numId w:val="0"/>
                    </w:numPr>
                    <w:ind w:left="0" w:firstLine="0"/>
                    <w:jc w:val="left"/>
                    <w:spacing w:before="120" w:after="0"/>
                    <w:widowControl w:val="off"/>
                    <w:rPr>
                      <w:rFonts w:ascii="Times New Roman" w:hAnsi="Times New Roman" w:cs="Times New Roman"/>
                      <w:sz w:val="22"/>
                      <w:szCs w:val="22"/>
                    </w:rPr>
                    <w:outlineLvl w:val="4"/>
                  </w:pPr>
                  <w:r>
                    <w:rPr>
                      <w:rFonts w:eastAsia="Times New Roman" w:cs="Times New Roman"/>
                      <w:b/>
                      <w:sz w:val="18"/>
                      <w:szCs w:val="18"/>
                    </w:rPr>
                    <w:t xml:space="preserve">1. Участник не является изготовителем (производителем) и/или аффилированным изготовителю (производителю) </w:t>
                  </w:r>
                  <w:r>
                    <w:rPr>
                      <w:rFonts w:eastAsia="Times New Roman" w:cs="Times New Roman"/>
                      <w:sz w:val="18"/>
                      <w:szCs w:val="18"/>
                    </w:rPr>
                    <w:t xml:space="preserve">по одному из пунктов, указанных в Таблице - Признаки аффилированности и документы, подтверждающие данные признаки (форма №__ Документации о закупке), и/или представителем изготовителя (производителя).</w:t>
                  </w:r>
                  <w:r>
                    <w:rPr>
                      <w:rFonts w:ascii="Times New Roman" w:hAnsi="Times New Roman" w:cs="Times New Roman"/>
                      <w:sz w:val="22"/>
                      <w:szCs w:val="22"/>
                    </w:rPr>
                  </w:r>
                  <w:r>
                    <w:rPr>
                      <w:rFonts w:ascii="Times New Roman" w:hAnsi="Times New Roman" w:cs="Times New Roman"/>
                      <w:sz w:val="22"/>
                      <w:szCs w:val="22"/>
                    </w:rPr>
                  </w:r>
                </w:p>
                <w:p>
                  <w:pPr>
                    <w:pStyle w:val="1271"/>
                    <w:numPr>
                      <w:ilvl w:val="0"/>
                      <w:numId w:val="0"/>
                    </w:numPr>
                    <w:ind w:left="0" w:firstLine="0"/>
                    <w:jc w:val="left"/>
                    <w:widowControl w:val="off"/>
                    <w:rPr>
                      <w:rFonts w:ascii="Times New Roman" w:hAnsi="Times New Roman" w:cs="Times New Roman"/>
                      <w:b/>
                      <w:sz w:val="22"/>
                      <w:szCs w:val="22"/>
                    </w:rPr>
                    <w:outlineLvl w:val="4"/>
                  </w:pPr>
                  <w:r>
                    <w:rPr>
                      <w:rFonts w:eastAsia="Times New Roman" w:cs="Times New Roman"/>
                      <w:b/>
                      <w:sz w:val="18"/>
                      <w:szCs w:val="18"/>
                    </w:rPr>
                    <w:t xml:space="preserve">2. В случае непредставления документов, подтверждающих статус Участника.</w:t>
                  </w:r>
                  <w:r>
                    <w:rPr>
                      <w:rFonts w:ascii="Times New Roman" w:hAnsi="Times New Roman" w:cs="Times New Roman"/>
                      <w:b/>
                      <w:sz w:val="22"/>
                      <w:szCs w:val="22"/>
                    </w:rPr>
                  </w:r>
                  <w:r>
                    <w:rPr>
                      <w:rFonts w:ascii="Times New Roman" w:hAnsi="Times New Roman" w:cs="Times New Roman"/>
                      <w:b/>
                      <w:sz w:val="22"/>
                      <w:szCs w:val="22"/>
                    </w:rPr>
                  </w:r>
                </w:p>
              </w:tc>
            </w:tr>
            <w:tr>
              <w:tblPrEx/>
              <w:trPr>
                <w:cantSplit/>
                <w:trHeight w:val="309"/>
              </w:trPr>
              <w:tc>
                <w:tcPr>
                  <w:shd w:val="clear" w:color="ffffff" w:fill="ffffff" w:themeFill="background1"/>
                  <w:tcBorders>
                    <w:top w:val="single" w:color="000000" w:sz="4" w:space="0"/>
                    <w:left w:val="single" w:color="000000" w:sz="4" w:space="0"/>
                    <w:bottom w:val="single" w:color="000000" w:sz="4" w:space="0"/>
                    <w:right w:val="single" w:color="000000" w:sz="4" w:space="0"/>
                  </w:tcBorders>
                  <w:tcW w:w="872" w:type="dxa"/>
                  <w:textDirection w:val="lrTb"/>
                  <w:noWrap w:val="false"/>
                </w:tcPr>
                <w:p>
                  <w:pPr>
                    <w:pStyle w:val="1271"/>
                    <w:ind w:firstLine="0"/>
                    <w:jc w:val="left"/>
                    <w:spacing w:before="120" w:after="0"/>
                    <w:widowControl w:val="off"/>
                    <w:rPr>
                      <w:rFonts w:ascii="Times New Roman" w:hAnsi="Times New Roman" w:cs="Times New Roman"/>
                      <w:sz w:val="22"/>
                      <w:szCs w:val="22"/>
                    </w:rPr>
                  </w:pPr>
                  <w:r>
                    <w:rPr>
                      <w:rFonts w:eastAsia="Times New Roman" w:cs="Times New Roman"/>
                      <w:sz w:val="18"/>
                      <w:szCs w:val="18"/>
                    </w:rPr>
                    <w:t xml:space="preserve">Б</w:t>
                  </w:r>
                  <w:r>
                    <w:rPr>
                      <w:rFonts w:eastAsia="Times New Roman" w:cs="Times New Roman"/>
                      <w:sz w:val="18"/>
                      <w:szCs w:val="18"/>
                      <w:vertAlign w:val="subscript"/>
                    </w:rPr>
                    <w:t xml:space="preserve">i</w:t>
                  </w:r>
                  <w:r>
                    <w:rPr>
                      <w:rFonts w:eastAsia="Times New Roman" w:cs="Times New Roman"/>
                      <w:sz w:val="18"/>
                      <w:szCs w:val="18"/>
                    </w:rPr>
                    <w:t xml:space="preserve">= 1</w:t>
                  </w:r>
                  <w:r>
                    <w:rPr>
                      <w:rFonts w:ascii="Times New Roman" w:hAnsi="Times New Roman" w:cs="Times New Roman"/>
                      <w:sz w:val="22"/>
                      <w:szCs w:val="22"/>
                    </w:rPr>
                  </w:r>
                  <w:r>
                    <w:rPr>
                      <w:rFonts w:ascii="Times New Roman" w:hAnsi="Times New Roman" w:cs="Times New Roman"/>
                      <w:sz w:val="22"/>
                      <w:szCs w:val="22"/>
                    </w:rPr>
                  </w:r>
                </w:p>
              </w:tc>
              <w:tc>
                <w:tcPr>
                  <w:shd w:val="clear" w:color="ffffff" w:fill="ffffff" w:themeFill="background1"/>
                  <w:tcBorders>
                    <w:top w:val="single" w:color="000000" w:sz="4" w:space="0"/>
                    <w:left w:val="single" w:color="000000" w:sz="4" w:space="0"/>
                    <w:bottom w:val="single" w:color="000000" w:sz="4" w:space="0"/>
                    <w:right w:val="single" w:color="000000" w:sz="4" w:space="0"/>
                  </w:tcBorders>
                  <w:tcW w:w="6201" w:type="dxa"/>
                  <w:textDirection w:val="lrTb"/>
                  <w:noWrap w:val="false"/>
                </w:tcPr>
                <w:p>
                  <w:pPr>
                    <w:pStyle w:val="1271"/>
                    <w:numPr>
                      <w:ilvl w:val="0"/>
                      <w:numId w:val="0"/>
                    </w:numPr>
                    <w:ind w:left="0" w:firstLine="0"/>
                    <w:jc w:val="left"/>
                    <w:spacing w:before="120" w:after="0"/>
                    <w:widowControl w:val="off"/>
                    <w:rPr>
                      <w:rFonts w:ascii="Times New Roman" w:hAnsi="Times New Roman" w:cs="Times New Roman"/>
                      <w:sz w:val="22"/>
                      <w:szCs w:val="22"/>
                    </w:rPr>
                    <w:outlineLvl w:val="4"/>
                  </w:pPr>
                  <w:r>
                    <w:rPr>
                      <w:rFonts w:eastAsia="Times New Roman" w:cs="Times New Roman"/>
                      <w:b/>
                      <w:bCs/>
                      <w:sz w:val="18"/>
                      <w:szCs w:val="18"/>
                    </w:rPr>
                    <w:t xml:space="preserve">Участником получено согласие от производителя на поставку продукции, в случае признания Участника Победителем</w:t>
                  </w:r>
                  <w:r>
                    <w:rPr>
                      <w:rFonts w:ascii="Times New Roman" w:hAnsi="Times New Roman" w:cs="Times New Roman"/>
                      <w:sz w:val="22"/>
                      <w:szCs w:val="22"/>
                    </w:rPr>
                  </w:r>
                  <w:r>
                    <w:rPr>
                      <w:rFonts w:ascii="Times New Roman" w:hAnsi="Times New Roman" w:cs="Times New Roman"/>
                      <w:sz w:val="22"/>
                      <w:szCs w:val="22"/>
                    </w:rPr>
                  </w:r>
                </w:p>
                <w:p>
                  <w:pPr>
                    <w:pStyle w:val="1271"/>
                    <w:numPr>
                      <w:ilvl w:val="0"/>
                      <w:numId w:val="0"/>
                    </w:numPr>
                    <w:ind w:left="0" w:firstLine="0"/>
                    <w:jc w:val="left"/>
                    <w:widowControl w:val="off"/>
                    <w:rPr>
                      <w:rFonts w:ascii="Times New Roman" w:hAnsi="Times New Roman" w:cs="Times New Roman"/>
                      <w:sz w:val="22"/>
                      <w:szCs w:val="22"/>
                    </w:rPr>
                    <w:outlineLvl w:val="4"/>
                  </w:pPr>
                  <w:r>
                    <w:rPr>
                      <w:rFonts w:eastAsia="Times New Roman" w:cs="Times New Roman"/>
                      <w:sz w:val="18"/>
                      <w:szCs w:val="18"/>
                    </w:rPr>
                    <w:t xml:space="preserve">(статус участника подтверждается официальным письмом, подписанным уполномоченным представителем изготовителя (производителя) предлагаемой к поставке продукции, в котором изготовитель</w:t>
                  </w:r>
                  <w:r>
                    <w:rPr>
                      <w:rFonts w:eastAsia="Times New Roman" w:cs="Times New Roman"/>
                      <w:sz w:val="18"/>
                      <w:szCs w:val="18"/>
                    </w:rPr>
                    <w:t xml:space="preserve"> (производитель) подтверждает свое согласие заключить с Участником договор на поставку предлагаемой Участником продукции в случае, если Участника признают Победителем; в письме необходимо указать наименование и ИНН Участника, номер и/или наименование лота)</w:t>
                  </w:r>
                  <w:r>
                    <w:rPr>
                      <w:rFonts w:ascii="Times New Roman" w:hAnsi="Times New Roman" w:cs="Times New Roman"/>
                      <w:sz w:val="22"/>
                      <w:szCs w:val="22"/>
                    </w:rPr>
                  </w:r>
                  <w:r>
                    <w:rPr>
                      <w:rFonts w:ascii="Times New Roman" w:hAnsi="Times New Roman" w:cs="Times New Roman"/>
                      <w:sz w:val="22"/>
                      <w:szCs w:val="22"/>
                    </w:rPr>
                  </w:r>
                </w:p>
              </w:tc>
            </w:tr>
            <w:tr>
              <w:tblPrEx/>
              <w:trPr>
                <w:cantSplit/>
                <w:trHeight w:val="309"/>
              </w:trPr>
              <w:tc>
                <w:tcPr>
                  <w:shd w:val="clear" w:color="ffffff" w:fill="ffffff" w:themeFill="background1"/>
                  <w:tcBorders>
                    <w:top w:val="single" w:color="000000" w:sz="4" w:space="0"/>
                    <w:left w:val="single" w:color="000000" w:sz="4" w:space="0"/>
                    <w:bottom w:val="single" w:color="000000" w:sz="4" w:space="0"/>
                    <w:right w:val="single" w:color="000000" w:sz="4" w:space="0"/>
                  </w:tcBorders>
                  <w:tcW w:w="872" w:type="dxa"/>
                  <w:textDirection w:val="lrTb"/>
                  <w:noWrap w:val="false"/>
                </w:tcPr>
                <w:p>
                  <w:pPr>
                    <w:pStyle w:val="1271"/>
                    <w:ind w:firstLine="0"/>
                    <w:jc w:val="left"/>
                    <w:spacing w:before="120" w:after="0"/>
                    <w:widowControl w:val="off"/>
                    <w:rPr>
                      <w:rFonts w:ascii="Times New Roman" w:hAnsi="Times New Roman" w:cs="Times New Roman"/>
                      <w:sz w:val="22"/>
                      <w:szCs w:val="22"/>
                    </w:rPr>
                  </w:pPr>
                  <w:r>
                    <w:rPr>
                      <w:rFonts w:eastAsia="Times New Roman" w:cs="Times New Roman"/>
                      <w:sz w:val="18"/>
                      <w:szCs w:val="18"/>
                    </w:rPr>
                    <w:t xml:space="preserve">Б</w:t>
                  </w:r>
                  <w:r>
                    <w:rPr>
                      <w:rFonts w:eastAsia="Times New Roman" w:cs="Times New Roman"/>
                      <w:sz w:val="18"/>
                      <w:szCs w:val="18"/>
                      <w:vertAlign w:val="subscript"/>
                    </w:rPr>
                    <w:t xml:space="preserve">i</w:t>
                  </w:r>
                  <w:r>
                    <w:rPr>
                      <w:rFonts w:eastAsia="Times New Roman" w:cs="Times New Roman"/>
                      <w:sz w:val="18"/>
                      <w:szCs w:val="18"/>
                    </w:rPr>
                    <w:t xml:space="preserve">= 2</w:t>
                  </w:r>
                  <w:r>
                    <w:rPr>
                      <w:rFonts w:ascii="Times New Roman" w:hAnsi="Times New Roman" w:cs="Times New Roman"/>
                      <w:sz w:val="22"/>
                      <w:szCs w:val="22"/>
                    </w:rPr>
                  </w:r>
                  <w:r>
                    <w:rPr>
                      <w:rFonts w:ascii="Times New Roman" w:hAnsi="Times New Roman" w:cs="Times New Roman"/>
                      <w:sz w:val="22"/>
                      <w:szCs w:val="22"/>
                    </w:rPr>
                  </w:r>
                </w:p>
              </w:tc>
              <w:tc>
                <w:tcPr>
                  <w:shd w:val="clear" w:color="ffffff" w:fill="ffffff" w:themeFill="background1"/>
                  <w:tcBorders>
                    <w:top w:val="single" w:color="000000" w:sz="4" w:space="0"/>
                    <w:left w:val="single" w:color="000000" w:sz="4" w:space="0"/>
                    <w:bottom w:val="single" w:color="000000" w:sz="4" w:space="0"/>
                    <w:right w:val="single" w:color="000000" w:sz="4" w:space="0"/>
                  </w:tcBorders>
                  <w:tcW w:w="6201" w:type="dxa"/>
                  <w:textDirection w:val="lrTb"/>
                  <w:noWrap w:val="false"/>
                </w:tcPr>
                <w:p>
                  <w:pPr>
                    <w:pStyle w:val="1271"/>
                    <w:numPr>
                      <w:ilvl w:val="0"/>
                      <w:numId w:val="0"/>
                    </w:numPr>
                    <w:ind w:left="0" w:firstLine="0"/>
                    <w:jc w:val="left"/>
                    <w:spacing w:before="120" w:after="0"/>
                    <w:widowControl w:val="off"/>
                    <w:rPr>
                      <w:rFonts w:ascii="Times New Roman" w:hAnsi="Times New Roman" w:cs="Times New Roman"/>
                      <w:b/>
                      <w:sz w:val="22"/>
                      <w:szCs w:val="22"/>
                    </w:rPr>
                    <w:outlineLvl w:val="4"/>
                  </w:pPr>
                  <w:r>
                    <w:rPr>
                      <w:rFonts w:eastAsia="Times New Roman" w:cs="Times New Roman"/>
                      <w:b/>
                      <w:sz w:val="18"/>
                      <w:szCs w:val="18"/>
                    </w:rPr>
                    <w:t xml:space="preserve">Участник является официальным представителем изготовителя (производителя)</w:t>
                  </w:r>
                  <w:r>
                    <w:rPr>
                      <w:rFonts w:ascii="Times New Roman" w:hAnsi="Times New Roman" w:cs="Times New Roman"/>
                      <w:b/>
                      <w:sz w:val="22"/>
                      <w:szCs w:val="22"/>
                    </w:rPr>
                  </w:r>
                  <w:r>
                    <w:rPr>
                      <w:rFonts w:ascii="Times New Roman" w:hAnsi="Times New Roman" w:cs="Times New Roman"/>
                      <w:b/>
                      <w:sz w:val="22"/>
                      <w:szCs w:val="22"/>
                    </w:rPr>
                  </w:r>
                </w:p>
                <w:p>
                  <w:pPr>
                    <w:pStyle w:val="1271"/>
                    <w:numPr>
                      <w:ilvl w:val="0"/>
                      <w:numId w:val="0"/>
                    </w:numPr>
                    <w:ind w:left="0" w:firstLine="0"/>
                    <w:jc w:val="left"/>
                    <w:widowControl w:val="off"/>
                    <w:rPr>
                      <w:rFonts w:ascii="Times New Roman" w:hAnsi="Times New Roman" w:cs="Times New Roman"/>
                      <w:sz w:val="22"/>
                      <w:szCs w:val="22"/>
                    </w:rPr>
                    <w:outlineLvl w:val="4"/>
                  </w:pPr>
                  <w:r>
                    <w:rPr>
                      <w:rFonts w:eastAsia="Times New Roman" w:cs="Times New Roman"/>
                      <w:sz w:val="18"/>
                      <w:szCs w:val="18"/>
                    </w:rPr>
                    <w:t xml:space="preserve">(статус участника подт</w:t>
                  </w:r>
                  <w:r>
                    <w:rPr>
                      <w:rFonts w:eastAsia="Times New Roman" w:cs="Times New Roman"/>
                      <w:sz w:val="18"/>
                      <w:szCs w:val="18"/>
                    </w:rPr>
                    <w:t xml:space="preserve">верждается действующими на момент подачи заявки документами изготовителя (производителя), в которых указан статус Участника в качестве представителя/дилера, сроком действия не менее одного года или копией подписанного с обеих сторон действующего на момент </w:t>
                  </w:r>
                  <w:r>
                    <w:rPr>
                      <w:rFonts w:eastAsia="Times New Roman" w:cs="Times New Roman"/>
                      <w:sz w:val="18"/>
                      <w:szCs w:val="18"/>
                    </w:rPr>
                    <w:t xml:space="preserve">подачи заявки договора (либо соглашения) с изготовителем (производителем), сроком действия не менее одного года, предметом которого является представление Участником интересов изготовителя (производителя) в части предлагаемой реализации продукции (товара))</w:t>
                  </w:r>
                  <w:r>
                    <w:rPr>
                      <w:rFonts w:ascii="Times New Roman" w:hAnsi="Times New Roman" w:cs="Times New Roman"/>
                      <w:sz w:val="22"/>
                      <w:szCs w:val="22"/>
                    </w:rPr>
                  </w:r>
                  <w:r>
                    <w:rPr>
                      <w:rFonts w:ascii="Times New Roman" w:hAnsi="Times New Roman" w:cs="Times New Roman"/>
                      <w:sz w:val="22"/>
                      <w:szCs w:val="22"/>
                    </w:rPr>
                  </w:r>
                </w:p>
              </w:tc>
            </w:tr>
            <w:tr>
              <w:tblPrEx/>
              <w:trPr>
                <w:cantSplit/>
                <w:trHeight w:val="309"/>
              </w:trPr>
              <w:tc>
                <w:tcPr>
                  <w:shd w:val="clear" w:color="ffffff" w:fill="ffffff" w:themeFill="background1"/>
                  <w:tcBorders>
                    <w:top w:val="single" w:color="000000" w:sz="4" w:space="0"/>
                    <w:left w:val="single" w:color="000000" w:sz="4" w:space="0"/>
                    <w:bottom w:val="single" w:color="000000" w:sz="4" w:space="0"/>
                    <w:right w:val="single" w:color="000000" w:sz="4" w:space="0"/>
                  </w:tcBorders>
                  <w:tcW w:w="872" w:type="dxa"/>
                  <w:textDirection w:val="lrTb"/>
                  <w:noWrap w:val="false"/>
                </w:tcPr>
                <w:p>
                  <w:pPr>
                    <w:pStyle w:val="1271"/>
                    <w:ind w:firstLine="0"/>
                    <w:jc w:val="left"/>
                    <w:spacing w:before="120" w:after="0"/>
                    <w:widowControl w:val="off"/>
                    <w:rPr>
                      <w:rFonts w:ascii="Times New Roman" w:hAnsi="Times New Roman" w:cs="Times New Roman"/>
                      <w:sz w:val="22"/>
                      <w:szCs w:val="22"/>
                    </w:rPr>
                  </w:pPr>
                  <w:r>
                    <w:rPr>
                      <w:rFonts w:eastAsia="Times New Roman" w:cs="Times New Roman"/>
                      <w:sz w:val="18"/>
                      <w:szCs w:val="18"/>
                    </w:rPr>
                    <w:t xml:space="preserve">Б</w:t>
                  </w:r>
                  <w:r>
                    <w:rPr>
                      <w:rFonts w:eastAsia="Times New Roman" w:cs="Times New Roman"/>
                      <w:sz w:val="18"/>
                      <w:szCs w:val="18"/>
                      <w:vertAlign w:val="subscript"/>
                    </w:rPr>
                    <w:t xml:space="preserve">i</w:t>
                  </w:r>
                  <w:r>
                    <w:rPr>
                      <w:rFonts w:eastAsia="Times New Roman" w:cs="Times New Roman"/>
                      <w:sz w:val="18"/>
                      <w:szCs w:val="18"/>
                    </w:rPr>
                    <w:t xml:space="preserve">= 3</w:t>
                  </w:r>
                  <w:r>
                    <w:rPr>
                      <w:rFonts w:ascii="Times New Roman" w:hAnsi="Times New Roman" w:cs="Times New Roman"/>
                      <w:sz w:val="22"/>
                      <w:szCs w:val="22"/>
                    </w:rPr>
                  </w:r>
                  <w:r>
                    <w:rPr>
                      <w:rFonts w:ascii="Times New Roman" w:hAnsi="Times New Roman" w:cs="Times New Roman"/>
                      <w:sz w:val="22"/>
                      <w:szCs w:val="22"/>
                    </w:rPr>
                  </w:r>
                </w:p>
              </w:tc>
              <w:tc>
                <w:tcPr>
                  <w:shd w:val="clear" w:color="ffffff" w:fill="ffffff" w:themeFill="background1"/>
                  <w:tcBorders>
                    <w:top w:val="single" w:color="000000" w:sz="4" w:space="0"/>
                    <w:left w:val="single" w:color="000000" w:sz="4" w:space="0"/>
                    <w:bottom w:val="single" w:color="000000" w:sz="4" w:space="0"/>
                    <w:right w:val="single" w:color="000000" w:sz="4" w:space="0"/>
                  </w:tcBorders>
                  <w:tcW w:w="6201" w:type="dxa"/>
                  <w:textDirection w:val="lrTb"/>
                  <w:noWrap w:val="false"/>
                </w:tcPr>
                <w:p>
                  <w:pPr>
                    <w:pStyle w:val="1271"/>
                    <w:numPr>
                      <w:ilvl w:val="0"/>
                      <w:numId w:val="0"/>
                    </w:numPr>
                    <w:ind w:left="0" w:firstLine="0"/>
                    <w:jc w:val="left"/>
                    <w:spacing w:before="40" w:after="40"/>
                    <w:widowControl w:val="off"/>
                    <w:rPr>
                      <w:rFonts w:ascii="Times New Roman" w:hAnsi="Times New Roman" w:cs="Times New Roman"/>
                      <w:b/>
                      <w:sz w:val="22"/>
                      <w:szCs w:val="22"/>
                    </w:rPr>
                    <w:outlineLvl w:val="4"/>
                  </w:pPr>
                  <w:r>
                    <w:rPr>
                      <w:rFonts w:eastAsia="Times New Roman" w:cs="Times New Roman"/>
                      <w:b/>
                      <w:sz w:val="18"/>
                      <w:szCs w:val="18"/>
                    </w:rPr>
                    <w:t xml:space="preserve">Участник является аффилированным изготовителю (производителю) по одному из следующих пунктов 7, 9, указанных в Таблице - Признаки аффилированности и представлены документы, подтверждающие данные признаки </w:t>
                  </w:r>
                  <w:r>
                    <w:rPr>
                      <w:rFonts w:eastAsia="Times New Roman" w:cs="Times New Roman"/>
                      <w:b/>
                      <w:color w:val="000000" w:themeColor="text1"/>
                      <w:sz w:val="18"/>
                      <w:szCs w:val="18"/>
                    </w:rPr>
                    <w:t xml:space="preserve">(форма №9 Приложения №4 к Д</w:t>
                  </w:r>
                  <w:r>
                    <w:rPr>
                      <w:rFonts w:eastAsia="Times New Roman" w:cs="Times New Roman"/>
                      <w:b/>
                      <w:sz w:val="18"/>
                      <w:szCs w:val="18"/>
                    </w:rPr>
                    <w:t xml:space="preserve">окументации о закупке). </w:t>
                  </w:r>
                  <w:r>
                    <w:rPr>
                      <w:rFonts w:ascii="Times New Roman" w:hAnsi="Times New Roman" w:cs="Times New Roman"/>
                      <w:b/>
                      <w:sz w:val="22"/>
                      <w:szCs w:val="22"/>
                    </w:rPr>
                  </w:r>
                  <w:r>
                    <w:rPr>
                      <w:rFonts w:ascii="Times New Roman" w:hAnsi="Times New Roman" w:cs="Times New Roman"/>
                      <w:b/>
                      <w:sz w:val="22"/>
                      <w:szCs w:val="22"/>
                    </w:rPr>
                  </w:r>
                </w:p>
                <w:p>
                  <w:pPr>
                    <w:pStyle w:val="1271"/>
                    <w:numPr>
                      <w:ilvl w:val="0"/>
                      <w:numId w:val="0"/>
                    </w:numPr>
                    <w:ind w:left="0" w:firstLine="0"/>
                    <w:jc w:val="left"/>
                    <w:spacing w:before="40" w:after="40"/>
                    <w:widowControl w:val="off"/>
                    <w:rPr>
                      <w:rFonts w:ascii="Times New Roman" w:hAnsi="Times New Roman" w:cs="Times New Roman"/>
                      <w:sz w:val="22"/>
                      <w:szCs w:val="22"/>
                    </w:rPr>
                    <w:outlineLvl w:val="4"/>
                  </w:pPr>
                  <w:r>
                    <w:rPr>
                      <w:rFonts w:eastAsia="Times New Roman" w:cs="Times New Roman"/>
                      <w:sz w:val="18"/>
                      <w:szCs w:val="18"/>
                    </w:rPr>
                    <w:t xml:space="preserve">(статус аффилированности подтверждается Справкой об аффилированности участника закупки с изготовителем (производителем) предлагаемой продукции (товара), с приложением подтверждающих документов по форме, приведенной в Документации о закупке)</w:t>
                  </w:r>
                  <w:r>
                    <w:rPr>
                      <w:rFonts w:ascii="Times New Roman" w:hAnsi="Times New Roman" w:cs="Times New Roman"/>
                      <w:sz w:val="22"/>
                      <w:szCs w:val="22"/>
                    </w:rPr>
                  </w:r>
                  <w:r>
                    <w:rPr>
                      <w:rFonts w:ascii="Times New Roman" w:hAnsi="Times New Roman" w:cs="Times New Roman"/>
                      <w:sz w:val="22"/>
                      <w:szCs w:val="22"/>
                    </w:rPr>
                  </w:r>
                </w:p>
              </w:tc>
            </w:tr>
            <w:tr>
              <w:tblPrEx/>
              <w:trPr>
                <w:cantSplit/>
                <w:trHeight w:val="309"/>
              </w:trPr>
              <w:tc>
                <w:tcPr>
                  <w:shd w:val="clear" w:color="ffffff" w:fill="ffffff" w:themeFill="background1"/>
                  <w:tcBorders>
                    <w:top w:val="single" w:color="000000" w:sz="4" w:space="0"/>
                    <w:left w:val="single" w:color="000000" w:sz="4" w:space="0"/>
                    <w:bottom w:val="single" w:color="000000" w:sz="4" w:space="0"/>
                    <w:right w:val="single" w:color="000000" w:sz="4" w:space="0"/>
                  </w:tcBorders>
                  <w:tcW w:w="872" w:type="dxa"/>
                  <w:textDirection w:val="lrTb"/>
                  <w:noWrap w:val="false"/>
                </w:tcPr>
                <w:p>
                  <w:pPr>
                    <w:pStyle w:val="1271"/>
                    <w:ind w:firstLine="0"/>
                    <w:jc w:val="left"/>
                    <w:spacing w:before="120" w:after="0"/>
                    <w:widowControl w:val="off"/>
                    <w:rPr>
                      <w:rFonts w:ascii="Times New Roman" w:hAnsi="Times New Roman" w:cs="Times New Roman"/>
                      <w:sz w:val="22"/>
                      <w:szCs w:val="22"/>
                    </w:rPr>
                  </w:pPr>
                  <w:r>
                    <w:rPr>
                      <w:rFonts w:eastAsia="Times New Roman" w:cs="Times New Roman"/>
                      <w:sz w:val="18"/>
                      <w:szCs w:val="18"/>
                    </w:rPr>
                    <w:t xml:space="preserve">Б</w:t>
                  </w:r>
                  <w:r>
                    <w:rPr>
                      <w:rFonts w:eastAsia="Times New Roman" w:cs="Times New Roman"/>
                      <w:sz w:val="18"/>
                      <w:szCs w:val="18"/>
                      <w:vertAlign w:val="subscript"/>
                    </w:rPr>
                    <w:t xml:space="preserve">i</w:t>
                  </w:r>
                  <w:r>
                    <w:rPr>
                      <w:rFonts w:eastAsia="Times New Roman" w:cs="Times New Roman"/>
                      <w:sz w:val="18"/>
                      <w:szCs w:val="18"/>
                    </w:rPr>
                    <w:t xml:space="preserve">= 4</w:t>
                  </w:r>
                  <w:r>
                    <w:rPr>
                      <w:rFonts w:ascii="Times New Roman" w:hAnsi="Times New Roman" w:cs="Times New Roman"/>
                      <w:sz w:val="22"/>
                      <w:szCs w:val="22"/>
                    </w:rPr>
                  </w:r>
                  <w:r>
                    <w:rPr>
                      <w:rFonts w:ascii="Times New Roman" w:hAnsi="Times New Roman" w:cs="Times New Roman"/>
                      <w:sz w:val="22"/>
                      <w:szCs w:val="22"/>
                    </w:rPr>
                  </w:r>
                </w:p>
              </w:tc>
              <w:tc>
                <w:tcPr>
                  <w:shd w:val="clear" w:color="ffffff" w:fill="ffffff" w:themeFill="background1"/>
                  <w:tcBorders>
                    <w:top w:val="single" w:color="000000" w:sz="4" w:space="0"/>
                    <w:left w:val="single" w:color="000000" w:sz="4" w:space="0"/>
                    <w:bottom w:val="single" w:color="000000" w:sz="4" w:space="0"/>
                    <w:right w:val="single" w:color="000000" w:sz="4" w:space="0"/>
                  </w:tcBorders>
                  <w:tcW w:w="6201" w:type="dxa"/>
                  <w:textDirection w:val="lrTb"/>
                  <w:noWrap w:val="false"/>
                </w:tcPr>
                <w:p>
                  <w:pPr>
                    <w:pStyle w:val="1271"/>
                    <w:numPr>
                      <w:ilvl w:val="0"/>
                      <w:numId w:val="0"/>
                    </w:numPr>
                    <w:ind w:left="0" w:firstLine="0"/>
                    <w:jc w:val="left"/>
                    <w:spacing w:before="40" w:after="40"/>
                    <w:widowControl w:val="off"/>
                    <w:rPr>
                      <w:rFonts w:ascii="Times New Roman" w:hAnsi="Times New Roman" w:cs="Times New Roman"/>
                      <w:b/>
                      <w:sz w:val="22"/>
                      <w:szCs w:val="22"/>
                    </w:rPr>
                    <w:outlineLvl w:val="4"/>
                  </w:pPr>
                  <w:r>
                    <w:rPr>
                      <w:rFonts w:eastAsia="Times New Roman" w:cs="Times New Roman"/>
                      <w:b/>
                      <w:sz w:val="18"/>
                      <w:szCs w:val="18"/>
                    </w:rPr>
                    <w:t xml:space="preserve">Участник является аффилированным изготовителю (производителю) по одному из следующих пунктов 4, 5, 8, 10, указанных в Таблице - Признаки аффилированности и представлены документы, подтверждающие данные признаки </w:t>
                  </w:r>
                  <w:r>
                    <w:rPr>
                      <w:rFonts w:eastAsia="Times New Roman" w:cs="Times New Roman"/>
                      <w:b/>
                      <w:color w:val="000000" w:themeColor="text1"/>
                      <w:sz w:val="18"/>
                      <w:szCs w:val="18"/>
                    </w:rPr>
                    <w:t xml:space="preserve">(форма №9 Приложения №4 к </w:t>
                  </w:r>
                  <w:r>
                    <w:rPr>
                      <w:rFonts w:eastAsia="Times New Roman" w:cs="Times New Roman"/>
                      <w:b/>
                      <w:sz w:val="18"/>
                      <w:szCs w:val="18"/>
                    </w:rPr>
                    <w:t xml:space="preserve">Документации о закупке).</w:t>
                  </w:r>
                  <w:r>
                    <w:rPr>
                      <w:rFonts w:ascii="Times New Roman" w:hAnsi="Times New Roman" w:cs="Times New Roman"/>
                      <w:b/>
                      <w:sz w:val="22"/>
                      <w:szCs w:val="22"/>
                    </w:rPr>
                  </w:r>
                  <w:r>
                    <w:rPr>
                      <w:rFonts w:ascii="Times New Roman" w:hAnsi="Times New Roman" w:cs="Times New Roman"/>
                      <w:b/>
                      <w:sz w:val="22"/>
                      <w:szCs w:val="22"/>
                    </w:rPr>
                  </w:r>
                </w:p>
                <w:p>
                  <w:pPr>
                    <w:pStyle w:val="1271"/>
                    <w:numPr>
                      <w:ilvl w:val="0"/>
                      <w:numId w:val="0"/>
                    </w:numPr>
                    <w:ind w:left="0" w:firstLine="0"/>
                    <w:jc w:val="left"/>
                    <w:spacing w:before="40" w:after="40"/>
                    <w:widowControl w:val="off"/>
                    <w:rPr>
                      <w:rFonts w:ascii="Times New Roman" w:hAnsi="Times New Roman" w:cs="Times New Roman"/>
                      <w:sz w:val="22"/>
                      <w:szCs w:val="22"/>
                    </w:rPr>
                    <w:outlineLvl w:val="4"/>
                  </w:pPr>
                  <w:r>
                    <w:rPr>
                      <w:rFonts w:eastAsia="Times New Roman" w:cs="Times New Roman"/>
                      <w:sz w:val="18"/>
                      <w:szCs w:val="18"/>
                    </w:rPr>
                    <w:t xml:space="preserve">(статус аффилированности подтверждается Справкой об аффилированности Участника закупки с изготовителем (производителем) предлагаемой продукции (товара), с приложением подтверждающих документов по форме, приведенной в Документации о закупке)</w:t>
                  </w:r>
                  <w:r>
                    <w:rPr>
                      <w:rFonts w:ascii="Times New Roman" w:hAnsi="Times New Roman" w:cs="Times New Roman"/>
                      <w:sz w:val="22"/>
                      <w:szCs w:val="22"/>
                    </w:rPr>
                  </w:r>
                  <w:r>
                    <w:rPr>
                      <w:rFonts w:ascii="Times New Roman" w:hAnsi="Times New Roman" w:cs="Times New Roman"/>
                      <w:sz w:val="22"/>
                      <w:szCs w:val="22"/>
                    </w:rPr>
                  </w:r>
                </w:p>
              </w:tc>
            </w:tr>
            <w:tr>
              <w:tblPrEx/>
              <w:trPr>
                <w:cantSplit/>
                <w:trHeight w:val="309"/>
              </w:trPr>
              <w:tc>
                <w:tcPr>
                  <w:shd w:val="clear" w:color="ffffff" w:fill="ffffff" w:themeFill="background1"/>
                  <w:tcBorders>
                    <w:top w:val="single" w:color="000000" w:sz="4" w:space="0"/>
                    <w:left w:val="single" w:color="000000" w:sz="4" w:space="0"/>
                    <w:bottom w:val="single" w:color="000000" w:sz="4" w:space="0"/>
                    <w:right w:val="single" w:color="000000" w:sz="4" w:space="0"/>
                  </w:tcBorders>
                  <w:tcW w:w="872" w:type="dxa"/>
                  <w:textDirection w:val="lrTb"/>
                  <w:noWrap w:val="false"/>
                </w:tcPr>
                <w:p>
                  <w:pPr>
                    <w:pStyle w:val="1271"/>
                    <w:ind w:firstLine="0"/>
                    <w:jc w:val="left"/>
                    <w:spacing w:before="120" w:after="0"/>
                    <w:widowControl w:val="off"/>
                    <w:rPr>
                      <w:rFonts w:ascii="Times New Roman" w:hAnsi="Times New Roman" w:cs="Times New Roman"/>
                      <w:sz w:val="22"/>
                      <w:szCs w:val="22"/>
                    </w:rPr>
                  </w:pPr>
                  <w:r>
                    <w:rPr>
                      <w:rFonts w:eastAsia="Times New Roman" w:cs="Times New Roman"/>
                      <w:sz w:val="18"/>
                      <w:szCs w:val="18"/>
                    </w:rPr>
                    <w:t xml:space="preserve">Б</w:t>
                  </w:r>
                  <w:r>
                    <w:rPr>
                      <w:rFonts w:eastAsia="Times New Roman" w:cs="Times New Roman"/>
                      <w:sz w:val="18"/>
                      <w:szCs w:val="18"/>
                      <w:vertAlign w:val="subscript"/>
                    </w:rPr>
                    <w:t xml:space="preserve">i</w:t>
                  </w:r>
                  <w:r>
                    <w:rPr>
                      <w:rFonts w:eastAsia="Times New Roman" w:cs="Times New Roman"/>
                      <w:sz w:val="18"/>
                      <w:szCs w:val="18"/>
                    </w:rPr>
                    <w:t xml:space="preserve">= 5</w:t>
                  </w:r>
                  <w:r>
                    <w:rPr>
                      <w:rFonts w:ascii="Times New Roman" w:hAnsi="Times New Roman" w:cs="Times New Roman"/>
                      <w:sz w:val="22"/>
                      <w:szCs w:val="22"/>
                    </w:rPr>
                  </w:r>
                  <w:r>
                    <w:rPr>
                      <w:rFonts w:ascii="Times New Roman" w:hAnsi="Times New Roman" w:cs="Times New Roman"/>
                      <w:sz w:val="22"/>
                      <w:szCs w:val="22"/>
                    </w:rPr>
                  </w:r>
                </w:p>
              </w:tc>
              <w:tc>
                <w:tcPr>
                  <w:shd w:val="clear" w:color="ffffff" w:fill="ffffff" w:themeFill="background1"/>
                  <w:tcBorders>
                    <w:top w:val="single" w:color="000000" w:sz="4" w:space="0"/>
                    <w:left w:val="single" w:color="000000" w:sz="4" w:space="0"/>
                    <w:bottom w:val="single" w:color="000000" w:sz="4" w:space="0"/>
                    <w:right w:val="single" w:color="000000" w:sz="4" w:space="0"/>
                  </w:tcBorders>
                  <w:tcW w:w="6201" w:type="dxa"/>
                  <w:textDirection w:val="lrTb"/>
                  <w:noWrap w:val="false"/>
                </w:tcPr>
                <w:p>
                  <w:pPr>
                    <w:pStyle w:val="1271"/>
                    <w:numPr>
                      <w:ilvl w:val="0"/>
                      <w:numId w:val="0"/>
                    </w:numPr>
                    <w:ind w:left="0" w:firstLine="0"/>
                    <w:jc w:val="left"/>
                    <w:spacing w:before="120" w:after="0"/>
                    <w:widowControl w:val="off"/>
                    <w:rPr>
                      <w:rFonts w:ascii="Times New Roman" w:hAnsi="Times New Roman" w:cs="Times New Roman"/>
                      <w:sz w:val="22"/>
                      <w:szCs w:val="22"/>
                    </w:rPr>
                    <w:outlineLvl w:val="4"/>
                  </w:pPr>
                  <w:r>
                    <w:rPr>
                      <w:rFonts w:eastAsia="Times New Roman" w:cs="Times New Roman"/>
                      <w:b/>
                      <w:sz w:val="18"/>
                      <w:szCs w:val="18"/>
                    </w:rPr>
                    <w:t xml:space="preserve">1. Участник является изготовителем (производителем)</w:t>
                  </w:r>
                  <w:r>
                    <w:rPr>
                      <w:rFonts w:ascii="Times New Roman" w:hAnsi="Times New Roman" w:cs="Times New Roman"/>
                      <w:sz w:val="22"/>
                      <w:szCs w:val="22"/>
                    </w:rPr>
                  </w:r>
                  <w:r>
                    <w:rPr>
                      <w:rFonts w:ascii="Times New Roman" w:hAnsi="Times New Roman" w:cs="Times New Roman"/>
                      <w:sz w:val="22"/>
                      <w:szCs w:val="22"/>
                    </w:rPr>
                  </w:r>
                </w:p>
                <w:p>
                  <w:pPr>
                    <w:pStyle w:val="1271"/>
                    <w:numPr>
                      <w:ilvl w:val="0"/>
                      <w:numId w:val="0"/>
                    </w:numPr>
                    <w:ind w:left="0" w:firstLine="0"/>
                    <w:jc w:val="left"/>
                    <w:widowControl w:val="off"/>
                    <w:rPr>
                      <w:rFonts w:ascii="Times New Roman" w:hAnsi="Times New Roman" w:cs="Times New Roman"/>
                      <w:sz w:val="22"/>
                      <w:szCs w:val="22"/>
                    </w:rPr>
                    <w:outlineLvl w:val="4"/>
                  </w:pPr>
                  <w:r>
                    <w:rPr>
                      <w:rFonts w:eastAsia="Times New Roman" w:cs="Times New Roman"/>
                      <w:sz w:val="18"/>
                      <w:szCs w:val="18"/>
                    </w:rPr>
                    <w:t xml:space="preserve">(статус участника подтверждается док</w:t>
                  </w:r>
                  <w:r>
                    <w:rPr>
                      <w:rFonts w:eastAsia="Times New Roman" w:cs="Times New Roman"/>
                      <w:sz w:val="18"/>
                      <w:szCs w:val="18"/>
                    </w:rPr>
                    <w:t xml:space="preserve">ументами на предлагаемую продукцию (товар), в которых указан изготовитель (производитель)) **. При этом в документах на предлагаемую продукцию (товар) и в Техническом / Коммерческом предложении должен быть указан один и тот же изготовитель (производитель).</w:t>
                  </w:r>
                  <w:r>
                    <w:rPr>
                      <w:rFonts w:ascii="Times New Roman" w:hAnsi="Times New Roman" w:cs="Times New Roman"/>
                      <w:sz w:val="22"/>
                      <w:szCs w:val="22"/>
                    </w:rPr>
                  </w:r>
                  <w:r>
                    <w:rPr>
                      <w:rFonts w:ascii="Times New Roman" w:hAnsi="Times New Roman" w:cs="Times New Roman"/>
                      <w:sz w:val="22"/>
                      <w:szCs w:val="22"/>
                    </w:rPr>
                  </w:r>
                </w:p>
                <w:p>
                  <w:pPr>
                    <w:pStyle w:val="1271"/>
                    <w:numPr>
                      <w:ilvl w:val="0"/>
                      <w:numId w:val="0"/>
                    </w:numPr>
                    <w:ind w:left="0" w:firstLine="0"/>
                    <w:jc w:val="left"/>
                    <w:widowControl w:val="off"/>
                    <w:rPr>
                      <w:rFonts w:ascii="Times New Roman" w:hAnsi="Times New Roman" w:cs="Times New Roman"/>
                      <w:sz w:val="22"/>
                      <w:szCs w:val="22"/>
                    </w:rPr>
                    <w:outlineLvl w:val="4"/>
                  </w:pPr>
                  <w:r>
                    <w:rPr>
                      <w:rFonts w:eastAsia="Times New Roman" w:cs="Times New Roman"/>
                      <w:b/>
                      <w:sz w:val="18"/>
                      <w:szCs w:val="18"/>
                    </w:rPr>
                    <w:t xml:space="preserve">2. Участник является аффилированным изготовителю (производителю) по одному из следующих пунктов 1, 2, 3, 6, 11, указанных в Таблице - Признаки аффилированности и представлены документы, подтверждающие данные признаки (</w:t>
                  </w:r>
                  <w:r>
                    <w:rPr>
                      <w:rFonts w:eastAsia="Times New Roman" w:cs="Times New Roman"/>
                      <w:b/>
                      <w:color w:val="000000" w:themeColor="text1"/>
                      <w:sz w:val="18"/>
                      <w:szCs w:val="18"/>
                    </w:rPr>
                    <w:t xml:space="preserve">форма №9 Приложения №4 к </w:t>
                  </w:r>
                  <w:r>
                    <w:rPr>
                      <w:rFonts w:eastAsia="Times New Roman" w:cs="Times New Roman"/>
                      <w:b/>
                      <w:sz w:val="18"/>
                      <w:szCs w:val="18"/>
                    </w:rPr>
                    <w:t xml:space="preserve">Документации о закупке).</w:t>
                  </w:r>
                  <w:r>
                    <w:rPr>
                      <w:rFonts w:ascii="Times New Roman" w:hAnsi="Times New Roman" w:cs="Times New Roman"/>
                      <w:sz w:val="22"/>
                      <w:szCs w:val="22"/>
                    </w:rPr>
                  </w:r>
                  <w:r>
                    <w:rPr>
                      <w:rFonts w:ascii="Times New Roman" w:hAnsi="Times New Roman" w:cs="Times New Roman"/>
                      <w:sz w:val="22"/>
                      <w:szCs w:val="22"/>
                    </w:rPr>
                  </w:r>
                </w:p>
                <w:p>
                  <w:pPr>
                    <w:pStyle w:val="1271"/>
                    <w:numPr>
                      <w:ilvl w:val="0"/>
                      <w:numId w:val="0"/>
                    </w:numPr>
                    <w:ind w:left="0" w:firstLine="0"/>
                    <w:jc w:val="left"/>
                    <w:widowControl w:val="off"/>
                    <w:rPr>
                      <w:rFonts w:ascii="Times New Roman" w:hAnsi="Times New Roman" w:cs="Times New Roman"/>
                      <w:sz w:val="22"/>
                      <w:szCs w:val="22"/>
                    </w:rPr>
                    <w:outlineLvl w:val="4"/>
                  </w:pPr>
                  <w:r>
                    <w:rPr>
                      <w:rFonts w:eastAsia="Times New Roman" w:cs="Times New Roman"/>
                      <w:sz w:val="18"/>
                      <w:szCs w:val="18"/>
                    </w:rPr>
                    <w:t xml:space="preserve">(статус аффилированности подтверждается Справкой об аффилированности Участника закупки с изготовителем (производителем) предлагаемой продукции (товара), с приложением подтверждающих документов по форме, приведенной в Документации о закупке)</w:t>
                  </w:r>
                  <w:r>
                    <w:rPr>
                      <w:rFonts w:ascii="Times New Roman" w:hAnsi="Times New Roman" w:cs="Times New Roman"/>
                      <w:sz w:val="22"/>
                      <w:szCs w:val="22"/>
                    </w:rPr>
                  </w:r>
                  <w:r>
                    <w:rPr>
                      <w:rFonts w:ascii="Times New Roman" w:hAnsi="Times New Roman" w:cs="Times New Roman"/>
                      <w:sz w:val="22"/>
                      <w:szCs w:val="22"/>
                    </w:rPr>
                  </w:r>
                </w:p>
              </w:tc>
            </w:tr>
          </w:tbl>
          <w:p>
            <w:pPr>
              <w:pStyle w:val="1271"/>
              <w:ind w:firstLine="0"/>
              <w:jc w:val="left"/>
              <w:keepNext/>
              <w:spacing w:before="96" w:after="60" w:line="240" w:lineRule="auto"/>
              <w:widowControl w:val="off"/>
              <w:rPr>
                <w:rFonts w:ascii="Times New Roman" w:hAnsi="Times New Roman" w:cs="Times New Roman"/>
                <w:sz w:val="22"/>
                <w:szCs w:val="22"/>
              </w:rPr>
            </w:pPr>
            <w:r>
              <w:rPr>
                <w:rFonts w:eastAsia="Times New Roman" w:cs="Times New Roman"/>
                <w:sz w:val="18"/>
                <w:szCs w:val="18"/>
                <w:lang w:val="ru-RU" w:eastAsia="en-US" w:bidi="ar-SA"/>
              </w:rPr>
              <w:t xml:space="preserve">, где:</w:t>
            </w:r>
            <w:r>
              <w:rPr>
                <w:rFonts w:ascii="Times New Roman" w:hAnsi="Times New Roman" w:cs="Times New Roman"/>
                <w:sz w:val="22"/>
                <w:szCs w:val="22"/>
              </w:rPr>
            </w:r>
            <w:r>
              <w:rPr>
                <w:rFonts w:ascii="Times New Roman" w:hAnsi="Times New Roman" w:cs="Times New Roman"/>
                <w:sz w:val="22"/>
                <w:szCs w:val="22"/>
              </w:rPr>
            </w:r>
          </w:p>
          <w:p>
            <w:pPr>
              <w:pStyle w:val="1271"/>
              <w:ind w:firstLine="0"/>
              <w:jc w:val="left"/>
              <w:spacing w:before="96" w:after="60" w:line="240" w:lineRule="auto"/>
              <w:widowControl w:val="off"/>
              <w:rPr>
                <w:rFonts w:ascii="Times New Roman" w:hAnsi="Times New Roman" w:cs="Times New Roman"/>
                <w:sz w:val="22"/>
                <w:szCs w:val="22"/>
              </w:rPr>
            </w:pPr>
            <w:r>
              <w:rPr>
                <w:rFonts w:eastAsia="Times New Roman" w:cs="Times New Roman"/>
                <w:sz w:val="18"/>
                <w:szCs w:val="18"/>
                <w:lang w:val="ru-RU" w:eastAsia="en-US" w:bidi="ar-SA"/>
              </w:rPr>
              <w:t xml:space="preserve">Б r – рассчитанная оценка по данному частному критерию оценки в баллах.</w:t>
            </w:r>
            <w:r>
              <w:rPr>
                <w:rFonts w:ascii="Times New Roman" w:hAnsi="Times New Roman" w:cs="Times New Roman"/>
                <w:sz w:val="22"/>
                <w:szCs w:val="22"/>
              </w:rPr>
            </w:r>
            <w:r>
              <w:rPr>
                <w:rFonts w:ascii="Times New Roman" w:hAnsi="Times New Roman" w:cs="Times New Roman"/>
                <w:sz w:val="22"/>
                <w:szCs w:val="22"/>
              </w:rPr>
            </w:r>
          </w:p>
          <w:p>
            <w:pPr>
              <w:pStyle w:val="1271"/>
              <w:ind w:firstLine="0"/>
              <w:jc w:val="left"/>
              <w:spacing w:before="96" w:after="60" w:line="240" w:lineRule="auto"/>
              <w:widowControl w:val="off"/>
              <w:rPr>
                <w:rFonts w:ascii="Times New Roman" w:hAnsi="Times New Roman" w:cs="Times New Roman"/>
                <w:sz w:val="22"/>
                <w:szCs w:val="22"/>
              </w:rPr>
            </w:pPr>
            <w:r>
              <w:rPr>
                <w:rFonts w:eastAsia="Times New Roman" w:cs="Times New Roman"/>
                <w:sz w:val="18"/>
                <w:szCs w:val="18"/>
                <w:lang w:val="ru-RU" w:eastAsia="en-US" w:bidi="ar-SA"/>
              </w:rPr>
              <w:t xml:space="preserve">Б i – балл, соответствующий отношению Участника к изготовителю (производителю) предлагаемой продукции (товара).</w:t>
            </w:r>
            <w:r>
              <w:rPr>
                <w:rFonts w:ascii="Times New Roman" w:hAnsi="Times New Roman" w:cs="Times New Roman"/>
                <w:sz w:val="22"/>
                <w:szCs w:val="22"/>
              </w:rPr>
            </w:r>
            <w:r>
              <w:rPr>
                <w:rFonts w:ascii="Times New Roman" w:hAnsi="Times New Roman" w:cs="Times New Roman"/>
                <w:sz w:val="22"/>
                <w:szCs w:val="22"/>
              </w:rPr>
            </w:r>
          </w:p>
          <w:p>
            <w:pPr>
              <w:pStyle w:val="1271"/>
              <w:ind w:firstLine="0"/>
              <w:jc w:val="left"/>
              <w:spacing w:before="96" w:after="60" w:line="240" w:lineRule="auto"/>
              <w:widowControl w:val="off"/>
              <w:rPr>
                <w:rFonts w:ascii="Times New Roman" w:hAnsi="Times New Roman" w:cs="Times New Roman"/>
                <w:sz w:val="22"/>
                <w:szCs w:val="22"/>
              </w:rPr>
            </w:pPr>
            <w:r>
              <w:rPr>
                <w:rFonts w:eastAsia="Times New Roman" w:cs="Times New Roman"/>
                <w:sz w:val="18"/>
                <w:szCs w:val="18"/>
                <w:lang w:val="ru-RU" w:eastAsia="en-US" w:bidi="ar-SA"/>
              </w:rPr>
              <w:t xml:space="preserve">k i – коэффициент, пропорциональный объему (по стоимости) предлагаемой Участником в данном статусе продукции (товара).</w:t>
            </w:r>
            <w:r>
              <w:rPr>
                <w:rFonts w:ascii="Times New Roman" w:hAnsi="Times New Roman" w:cs="Times New Roman"/>
                <w:sz w:val="22"/>
                <w:szCs w:val="22"/>
              </w:rPr>
            </w:r>
            <w:r>
              <w:rPr>
                <w:rFonts w:ascii="Times New Roman" w:hAnsi="Times New Roman" w:cs="Times New Roman"/>
                <w:sz w:val="22"/>
                <w:szCs w:val="22"/>
              </w:rPr>
            </w:r>
          </w:p>
          <w:p>
            <w:pPr>
              <w:pStyle w:val="1271"/>
              <w:ind w:firstLine="0"/>
              <w:jc w:val="left"/>
              <w:spacing w:before="96" w:after="60" w:line="240" w:lineRule="auto"/>
              <w:widowControl w:val="off"/>
              <w:rPr>
                <w:rFonts w:ascii="Times New Roman" w:hAnsi="Times New Roman" w:cs="Times New Roman"/>
                <w:b/>
                <w:bCs/>
                <w:sz w:val="22"/>
                <w:szCs w:val="22"/>
              </w:rPr>
            </w:pPr>
            <w:r>
              <w:rPr>
                <w:rFonts w:eastAsia="Times New Roman" w:cs="Times New Roman"/>
                <w:b/>
                <w:bCs/>
                <w:sz w:val="18"/>
                <w:szCs w:val="18"/>
                <w:lang w:val="ru-RU" w:eastAsia="en-US" w:bidi="ar-SA"/>
              </w:rPr>
              <w:t xml:space="preserve">* В случае если Участник является Коллективным Участником, то осуществляется оценка каждого члена Коллективного Участника (включая лид</w:t>
            </w:r>
            <w:r>
              <w:rPr>
                <w:rFonts w:eastAsia="Times New Roman" w:cs="Times New Roman"/>
                <w:b/>
                <w:bCs/>
                <w:sz w:val="18"/>
                <w:szCs w:val="18"/>
                <w:lang w:val="ru-RU" w:eastAsia="en-US" w:bidi="ar-SA"/>
              </w:rPr>
              <w:t xml:space="preserve">ера Коллективного Участника) с учетом объема (по стоимости) поставки в соответствии с Коммерческим / Техническим предложением и/или с Планом распределения объемов поставки продукции внутри Коллективного Участника, представленными в составе заявки Участника</w:t>
            </w:r>
            <w:r>
              <w:rPr>
                <w:rFonts w:eastAsia="Times New Roman" w:cs="Times New Roman"/>
                <w:b/>
                <w:bCs/>
                <w:sz w:val="18"/>
                <w:szCs w:val="18"/>
                <w:lang w:val="ru-RU" w:eastAsia="en-US" w:bidi="ar-SA"/>
              </w:rPr>
              <w:t xml:space="preserve">. Оценки каждого члена Коллективного Участника (включая лидера Коллективного Участника) суммируются. При этом итоговая (общая) оценка (итоговый балл) Коллективного Участника по данному критерию присваивается с учетом статуса Лидера Коллективного Участника:</w:t>
            </w:r>
            <w:r>
              <w:rPr>
                <w:rFonts w:ascii="Times New Roman" w:hAnsi="Times New Roman" w:cs="Times New Roman"/>
                <w:b/>
                <w:bCs/>
                <w:sz w:val="22"/>
                <w:szCs w:val="22"/>
              </w:rPr>
            </w:r>
            <w:r>
              <w:rPr>
                <w:rFonts w:ascii="Times New Roman" w:hAnsi="Times New Roman" w:cs="Times New Roman"/>
                <w:b/>
                <w:bCs/>
                <w:sz w:val="22"/>
                <w:szCs w:val="22"/>
              </w:rPr>
            </w:r>
          </w:p>
          <w:p>
            <w:pPr>
              <w:pStyle w:val="1271"/>
              <w:ind w:firstLine="0"/>
              <w:jc w:val="left"/>
              <w:spacing w:before="96" w:after="60" w:line="240" w:lineRule="auto"/>
              <w:widowControl w:val="off"/>
              <w:rPr>
                <w:rFonts w:ascii="Times New Roman" w:hAnsi="Times New Roman" w:cs="Times New Roman"/>
                <w:b/>
                <w:bCs/>
                <w:sz w:val="22"/>
                <w:szCs w:val="22"/>
              </w:rPr>
            </w:pPr>
            <w:r>
              <w:rPr>
                <w:rFonts w:eastAsia="Times New Roman" w:cs="Times New Roman"/>
                <w:b/>
                <w:bCs/>
                <w:sz w:val="18"/>
                <w:szCs w:val="18"/>
                <w:lang w:val="ru-RU" w:eastAsia="en-US" w:bidi="ar-SA"/>
              </w:rPr>
              <w:t xml:space="preserve">- Лидер Коллективного Участника не является изготовителем (производителем) предлагаемой продукции — итоговый балл не может превышать 2 балла;</w:t>
            </w:r>
            <w:r>
              <w:rPr>
                <w:rFonts w:ascii="Times New Roman" w:hAnsi="Times New Roman" w:cs="Times New Roman"/>
                <w:b/>
                <w:bCs/>
                <w:sz w:val="22"/>
                <w:szCs w:val="22"/>
              </w:rPr>
            </w:r>
            <w:r>
              <w:rPr>
                <w:rFonts w:ascii="Times New Roman" w:hAnsi="Times New Roman" w:cs="Times New Roman"/>
                <w:b/>
                <w:bCs/>
                <w:sz w:val="22"/>
                <w:szCs w:val="22"/>
              </w:rPr>
            </w:r>
          </w:p>
          <w:p>
            <w:pPr>
              <w:pStyle w:val="1271"/>
              <w:ind w:firstLine="0"/>
              <w:jc w:val="left"/>
              <w:spacing w:before="96" w:after="60" w:line="240" w:lineRule="auto"/>
              <w:widowControl w:val="off"/>
              <w:rPr>
                <w:rFonts w:ascii="Times New Roman" w:hAnsi="Times New Roman" w:cs="Times New Roman"/>
                <w:b/>
                <w:bCs/>
                <w:sz w:val="22"/>
                <w:szCs w:val="22"/>
              </w:rPr>
            </w:pPr>
            <w:r>
              <w:rPr>
                <w:rFonts w:eastAsia="Times New Roman" w:cs="Times New Roman"/>
                <w:b/>
                <w:bCs/>
                <w:sz w:val="18"/>
                <w:szCs w:val="18"/>
                <w:lang w:val="ru-RU" w:eastAsia="en-US" w:bidi="ar-SA"/>
              </w:rPr>
              <w:t xml:space="preserve">- Лидер Коллективного Участника является изготовителем (производителем) предлагаемой продукции — ограничений по итоговому баллу нет.</w:t>
            </w:r>
            <w:r>
              <w:rPr>
                <w:rFonts w:ascii="Times New Roman" w:hAnsi="Times New Roman" w:cs="Times New Roman"/>
                <w:b/>
                <w:bCs/>
                <w:sz w:val="22"/>
                <w:szCs w:val="22"/>
              </w:rPr>
            </w:r>
            <w:r>
              <w:rPr>
                <w:rFonts w:ascii="Times New Roman" w:hAnsi="Times New Roman" w:cs="Times New Roman"/>
                <w:b/>
                <w:bCs/>
                <w:sz w:val="22"/>
                <w:szCs w:val="22"/>
              </w:rPr>
            </w:r>
          </w:p>
          <w:p>
            <w:pPr>
              <w:pStyle w:val="1271"/>
              <w:ind w:left="113" w:right="113" w:firstLine="0"/>
              <w:jc w:val="left"/>
              <w:spacing w:before="57" w:after="60" w:line="240" w:lineRule="auto"/>
              <w:widowControl w:val="off"/>
              <w:rPr>
                <w:rFonts w:ascii="Times New Roman" w:hAnsi="Times New Roman" w:cs="Times New Roman"/>
                <w:sz w:val="22"/>
                <w:szCs w:val="22"/>
              </w:rPr>
            </w:pPr>
            <w:r>
              <w:rPr>
                <w:rFonts w:eastAsia="Times New Roman" w:cs="Times New Roman"/>
                <w:sz w:val="18"/>
                <w:szCs w:val="18"/>
                <w:lang w:val="ru-RU" w:eastAsia="en-US" w:bidi="ar-SA"/>
              </w:rPr>
              <w:t xml:space="preserve">Шкала оценок от 0 до 5 баллов.</w:t>
            </w:r>
            <w:r>
              <w:rPr>
                <w:rFonts w:ascii="Times New Roman" w:hAnsi="Times New Roman" w:cs="Times New Roman"/>
                <w:sz w:val="22"/>
                <w:szCs w:val="22"/>
              </w:rPr>
            </w:r>
            <w:r>
              <w:rPr>
                <w:rFonts w:ascii="Times New Roman" w:hAnsi="Times New Roman" w:cs="Times New Roman"/>
                <w:sz w:val="22"/>
                <w:szCs w:val="22"/>
              </w:rPr>
            </w:r>
          </w:p>
          <w:p>
            <w:pPr>
              <w:pStyle w:val="1271"/>
              <w:ind w:left="113" w:right="113" w:firstLine="0"/>
              <w:jc w:val="left"/>
              <w:spacing w:before="57" w:after="60" w:line="240" w:lineRule="auto"/>
              <w:widowControl w:val="off"/>
              <w:rPr>
                <w:rFonts w:ascii="Times New Roman" w:hAnsi="Times New Roman" w:cs="Times New Roman"/>
                <w:sz w:val="22"/>
                <w:szCs w:val="22"/>
              </w:rPr>
            </w:pPr>
            <w:r>
              <w:rPr>
                <w:rFonts w:eastAsia="Times New Roman" w:cs="Times New Roman"/>
                <w:sz w:val="18"/>
                <w:szCs w:val="18"/>
                <w:lang w:val="ru-RU" w:eastAsia="en-US" w:bidi="ar-SA"/>
              </w:rPr>
              <w:t xml:space="preserve">** Такими документами на предлагаемую продукцию могут являться:</w:t>
            </w:r>
            <w:r>
              <w:rPr>
                <w:rFonts w:ascii="Times New Roman" w:hAnsi="Times New Roman" w:cs="Times New Roman"/>
                <w:sz w:val="22"/>
                <w:szCs w:val="22"/>
              </w:rPr>
            </w:r>
            <w:r>
              <w:rPr>
                <w:rFonts w:ascii="Times New Roman" w:hAnsi="Times New Roman" w:cs="Times New Roman"/>
                <w:sz w:val="22"/>
                <w:szCs w:val="22"/>
              </w:rPr>
            </w:r>
          </w:p>
          <w:p>
            <w:pPr>
              <w:pStyle w:val="1271"/>
              <w:ind w:left="113" w:right="113" w:firstLine="0"/>
              <w:jc w:val="left"/>
              <w:spacing w:before="57" w:after="60" w:line="240" w:lineRule="auto"/>
              <w:widowControl w:val="off"/>
              <w:rPr>
                <w:rFonts w:ascii="Times New Roman" w:hAnsi="Times New Roman" w:cs="Times New Roman"/>
                <w:sz w:val="22"/>
                <w:szCs w:val="22"/>
              </w:rPr>
            </w:pPr>
            <w:r>
              <w:rPr>
                <w:rFonts w:eastAsia="Times New Roman" w:cs="Times New Roman"/>
                <w:sz w:val="18"/>
                <w:szCs w:val="18"/>
                <w:lang w:val="ru-RU" w:eastAsia="en-US" w:bidi="ar-SA"/>
              </w:rPr>
              <w:t xml:space="preserve">а) Сертификат/декларация соответствия и/или;</w:t>
            </w:r>
            <w:r>
              <w:rPr>
                <w:rFonts w:ascii="Times New Roman" w:hAnsi="Times New Roman" w:cs="Times New Roman"/>
                <w:sz w:val="22"/>
                <w:szCs w:val="22"/>
              </w:rPr>
            </w:r>
            <w:r>
              <w:rPr>
                <w:rFonts w:ascii="Times New Roman" w:hAnsi="Times New Roman" w:cs="Times New Roman"/>
                <w:sz w:val="22"/>
                <w:szCs w:val="22"/>
              </w:rPr>
            </w:r>
          </w:p>
          <w:p>
            <w:pPr>
              <w:pStyle w:val="1271"/>
              <w:ind w:left="113" w:right="113" w:firstLine="170"/>
              <w:jc w:val="left"/>
              <w:spacing w:before="57" w:after="60" w:line="240" w:lineRule="auto"/>
              <w:widowControl w:val="off"/>
              <w:rPr>
                <w:rFonts w:ascii="Times New Roman" w:hAnsi="Times New Roman" w:cs="Times New Roman"/>
                <w:sz w:val="22"/>
                <w:szCs w:val="22"/>
              </w:rPr>
            </w:pPr>
            <w:r>
              <w:rPr>
                <w:rFonts w:eastAsia="Times New Roman" w:cs="Times New Roman"/>
                <w:sz w:val="18"/>
                <w:szCs w:val="18"/>
                <w:lang w:val="ru-RU" w:eastAsia="en-US" w:bidi="ar-SA"/>
              </w:rPr>
              <w:t xml:space="preserve">- Протокол испытаний и/или;</w:t>
            </w:r>
            <w:r>
              <w:rPr>
                <w:rFonts w:ascii="Times New Roman" w:hAnsi="Times New Roman" w:cs="Times New Roman"/>
                <w:sz w:val="22"/>
                <w:szCs w:val="22"/>
              </w:rPr>
            </w:r>
            <w:r>
              <w:rPr>
                <w:rFonts w:ascii="Times New Roman" w:hAnsi="Times New Roman" w:cs="Times New Roman"/>
                <w:sz w:val="22"/>
                <w:szCs w:val="22"/>
              </w:rPr>
            </w:r>
          </w:p>
          <w:p>
            <w:pPr>
              <w:pStyle w:val="1271"/>
              <w:ind w:left="113" w:right="113" w:firstLine="170"/>
              <w:jc w:val="left"/>
              <w:spacing w:before="57" w:after="60" w:line="240" w:lineRule="auto"/>
              <w:widowControl w:val="off"/>
              <w:rPr>
                <w:rFonts w:ascii="Times New Roman" w:hAnsi="Times New Roman" w:cs="Times New Roman"/>
                <w:sz w:val="22"/>
                <w:szCs w:val="22"/>
              </w:rPr>
            </w:pPr>
            <w:r>
              <w:rPr>
                <w:rFonts w:eastAsia="Times New Roman" w:cs="Times New Roman"/>
                <w:sz w:val="18"/>
                <w:szCs w:val="18"/>
                <w:lang w:val="ru-RU" w:eastAsia="en-US" w:bidi="ar-SA"/>
              </w:rPr>
              <w:t xml:space="preserve">- Сертификат качества и/или;</w:t>
            </w:r>
            <w:r>
              <w:rPr>
                <w:rFonts w:ascii="Times New Roman" w:hAnsi="Times New Roman" w:cs="Times New Roman"/>
                <w:sz w:val="22"/>
                <w:szCs w:val="22"/>
              </w:rPr>
            </w:r>
            <w:r>
              <w:rPr>
                <w:rFonts w:ascii="Times New Roman" w:hAnsi="Times New Roman" w:cs="Times New Roman"/>
                <w:sz w:val="22"/>
                <w:szCs w:val="22"/>
              </w:rPr>
            </w:r>
          </w:p>
          <w:p>
            <w:pPr>
              <w:pStyle w:val="1271"/>
              <w:ind w:left="113" w:right="113" w:firstLine="170"/>
              <w:jc w:val="left"/>
              <w:spacing w:before="57" w:after="60" w:line="240" w:lineRule="auto"/>
              <w:widowControl w:val="off"/>
              <w:rPr>
                <w:rFonts w:ascii="Times New Roman" w:hAnsi="Times New Roman" w:cs="Times New Roman"/>
                <w:sz w:val="22"/>
                <w:szCs w:val="22"/>
              </w:rPr>
            </w:pPr>
            <w:r>
              <w:rPr>
                <w:rFonts w:eastAsia="Times New Roman" w:cs="Times New Roman"/>
                <w:sz w:val="18"/>
                <w:szCs w:val="18"/>
                <w:lang w:val="ru-RU" w:eastAsia="en-US" w:bidi="ar-SA"/>
              </w:rPr>
              <w:t xml:space="preserve">- Паспорт и/или;</w:t>
            </w:r>
            <w:r>
              <w:rPr>
                <w:rFonts w:ascii="Times New Roman" w:hAnsi="Times New Roman" w:cs="Times New Roman"/>
                <w:sz w:val="22"/>
                <w:szCs w:val="22"/>
              </w:rPr>
            </w:r>
            <w:r>
              <w:rPr>
                <w:rFonts w:ascii="Times New Roman" w:hAnsi="Times New Roman" w:cs="Times New Roman"/>
                <w:sz w:val="22"/>
                <w:szCs w:val="22"/>
              </w:rPr>
            </w:r>
          </w:p>
          <w:p>
            <w:pPr>
              <w:pStyle w:val="1271"/>
              <w:ind w:left="113" w:right="113" w:firstLine="170"/>
              <w:jc w:val="left"/>
              <w:spacing w:before="57" w:after="60" w:line="240" w:lineRule="auto"/>
              <w:widowControl w:val="off"/>
              <w:rPr>
                <w:rFonts w:ascii="Times New Roman" w:hAnsi="Times New Roman" w:cs="Times New Roman"/>
                <w:sz w:val="22"/>
                <w:szCs w:val="22"/>
              </w:rPr>
            </w:pPr>
            <w:r>
              <w:rPr>
                <w:rFonts w:eastAsia="Times New Roman" w:cs="Times New Roman"/>
                <w:sz w:val="18"/>
                <w:szCs w:val="18"/>
                <w:lang w:val="ru-RU" w:eastAsia="en-US" w:bidi="ar-SA"/>
              </w:rPr>
              <w:t xml:space="preserve">- Технические условия и/или;</w:t>
            </w:r>
            <w:r>
              <w:rPr>
                <w:rFonts w:ascii="Times New Roman" w:hAnsi="Times New Roman" w:cs="Times New Roman"/>
                <w:sz w:val="22"/>
                <w:szCs w:val="22"/>
              </w:rPr>
            </w:r>
            <w:r>
              <w:rPr>
                <w:rFonts w:ascii="Times New Roman" w:hAnsi="Times New Roman" w:cs="Times New Roman"/>
                <w:sz w:val="22"/>
                <w:szCs w:val="22"/>
              </w:rPr>
            </w:r>
          </w:p>
          <w:p>
            <w:pPr>
              <w:pStyle w:val="1271"/>
              <w:ind w:left="113" w:right="113" w:firstLine="170"/>
              <w:jc w:val="left"/>
              <w:spacing w:before="57" w:after="60" w:line="240" w:lineRule="auto"/>
              <w:widowControl w:val="off"/>
              <w:rPr>
                <w:rFonts w:ascii="Times New Roman" w:hAnsi="Times New Roman" w:cs="Times New Roman"/>
                <w:sz w:val="22"/>
                <w:szCs w:val="22"/>
              </w:rPr>
            </w:pPr>
            <w:r>
              <w:rPr>
                <w:rFonts w:eastAsia="Times New Roman" w:cs="Times New Roman"/>
                <w:sz w:val="18"/>
                <w:szCs w:val="18"/>
                <w:lang w:val="ru-RU" w:eastAsia="en-US" w:bidi="ar-SA"/>
              </w:rPr>
              <w:t xml:space="preserve">- Руководство по эксплуатации и/или;</w:t>
            </w:r>
            <w:r>
              <w:rPr>
                <w:rFonts w:ascii="Times New Roman" w:hAnsi="Times New Roman" w:cs="Times New Roman"/>
                <w:sz w:val="22"/>
                <w:szCs w:val="22"/>
              </w:rPr>
            </w:r>
            <w:r>
              <w:rPr>
                <w:rFonts w:ascii="Times New Roman" w:hAnsi="Times New Roman" w:cs="Times New Roman"/>
                <w:sz w:val="22"/>
                <w:szCs w:val="22"/>
              </w:rPr>
            </w:r>
          </w:p>
          <w:p>
            <w:pPr>
              <w:pStyle w:val="1271"/>
              <w:ind w:left="113" w:right="113" w:firstLine="170"/>
              <w:jc w:val="left"/>
              <w:spacing w:before="57" w:after="60" w:line="240" w:lineRule="auto"/>
              <w:widowControl w:val="off"/>
              <w:rPr>
                <w:rFonts w:ascii="Times New Roman" w:hAnsi="Times New Roman" w:cs="Times New Roman"/>
                <w:sz w:val="22"/>
                <w:szCs w:val="22"/>
              </w:rPr>
            </w:pPr>
            <w:r>
              <w:rPr>
                <w:rFonts w:eastAsia="Times New Roman" w:cs="Times New Roman"/>
                <w:sz w:val="18"/>
                <w:szCs w:val="18"/>
                <w:lang w:val="ru-RU" w:eastAsia="en-US" w:bidi="ar-SA"/>
              </w:rPr>
              <w:t xml:space="preserve">- Техническое описание и/или;</w:t>
            </w:r>
            <w:r>
              <w:rPr>
                <w:rFonts w:ascii="Times New Roman" w:hAnsi="Times New Roman" w:cs="Times New Roman"/>
                <w:sz w:val="22"/>
                <w:szCs w:val="22"/>
              </w:rPr>
            </w:r>
            <w:r>
              <w:rPr>
                <w:rFonts w:ascii="Times New Roman" w:hAnsi="Times New Roman" w:cs="Times New Roman"/>
                <w:sz w:val="22"/>
                <w:szCs w:val="22"/>
              </w:rPr>
            </w:r>
          </w:p>
          <w:p>
            <w:pPr>
              <w:pStyle w:val="1271"/>
              <w:ind w:left="113" w:right="113" w:firstLine="170"/>
              <w:jc w:val="left"/>
              <w:spacing w:before="57" w:after="60" w:line="240" w:lineRule="auto"/>
              <w:widowControl w:val="off"/>
              <w:rPr>
                <w:rFonts w:ascii="Times New Roman" w:hAnsi="Times New Roman" w:cs="Times New Roman"/>
                <w:sz w:val="22"/>
                <w:szCs w:val="22"/>
              </w:rPr>
            </w:pPr>
            <w:r>
              <w:rPr>
                <w:rFonts w:eastAsia="Times New Roman" w:cs="Times New Roman"/>
                <w:sz w:val="18"/>
                <w:szCs w:val="18"/>
                <w:lang w:val="ru-RU" w:eastAsia="en-US" w:bidi="ar-SA"/>
              </w:rPr>
              <w:t xml:space="preserve">- Инспекционный (аналитический) отчёт (сертификат) и/или;</w:t>
            </w:r>
            <w:r>
              <w:rPr>
                <w:rFonts w:ascii="Times New Roman" w:hAnsi="Times New Roman" w:cs="Times New Roman"/>
                <w:sz w:val="22"/>
                <w:szCs w:val="22"/>
              </w:rPr>
            </w:r>
            <w:r>
              <w:rPr>
                <w:rFonts w:ascii="Times New Roman" w:hAnsi="Times New Roman" w:cs="Times New Roman"/>
                <w:sz w:val="22"/>
                <w:szCs w:val="22"/>
              </w:rPr>
            </w:r>
          </w:p>
          <w:p>
            <w:pPr>
              <w:pStyle w:val="1271"/>
              <w:ind w:left="113" w:right="113" w:firstLine="170"/>
              <w:jc w:val="left"/>
              <w:spacing w:before="57" w:after="60" w:line="240" w:lineRule="auto"/>
              <w:widowControl w:val="off"/>
              <w:rPr>
                <w:rFonts w:ascii="Times New Roman" w:hAnsi="Times New Roman" w:cs="Times New Roman"/>
                <w:sz w:val="22"/>
                <w:szCs w:val="22"/>
              </w:rPr>
            </w:pPr>
            <w:r>
              <w:rPr>
                <w:rFonts w:eastAsia="Times New Roman" w:cs="Times New Roman"/>
                <w:sz w:val="18"/>
                <w:szCs w:val="18"/>
                <w:lang w:val="ru-RU" w:eastAsia="en-US" w:bidi="ar-SA"/>
              </w:rPr>
              <w:t xml:space="preserve">- Сертификат отбора проб и анализа (испытаний) и/или;</w:t>
            </w:r>
            <w:r>
              <w:rPr>
                <w:rFonts w:ascii="Times New Roman" w:hAnsi="Times New Roman" w:cs="Times New Roman"/>
                <w:sz w:val="22"/>
                <w:szCs w:val="22"/>
              </w:rPr>
            </w:r>
            <w:r>
              <w:rPr>
                <w:rFonts w:ascii="Times New Roman" w:hAnsi="Times New Roman" w:cs="Times New Roman"/>
                <w:sz w:val="22"/>
                <w:szCs w:val="22"/>
              </w:rPr>
            </w:r>
          </w:p>
          <w:p>
            <w:pPr>
              <w:pStyle w:val="1271"/>
              <w:ind w:left="113" w:right="113" w:firstLine="170"/>
              <w:jc w:val="left"/>
              <w:spacing w:before="96" w:after="60" w:line="240" w:lineRule="auto"/>
              <w:widowControl w:val="off"/>
              <w:rPr>
                <w:rFonts w:ascii="Times New Roman" w:hAnsi="Times New Roman" w:cs="Times New Roman"/>
                <w:sz w:val="22"/>
                <w:szCs w:val="22"/>
              </w:rPr>
            </w:pPr>
            <w:r>
              <w:rPr>
                <w:rFonts w:eastAsia="Times New Roman" w:cs="Times New Roman"/>
                <w:sz w:val="18"/>
                <w:szCs w:val="18"/>
                <w:lang w:val="ru-RU" w:eastAsia="en-US" w:bidi="ar-SA"/>
              </w:rPr>
              <w:t xml:space="preserve">- Номер реестровой записи из Единого реестра российской радиоэлектронной продукции (ПП РФ 878) и/или;</w:t>
            </w:r>
            <w:r>
              <w:rPr>
                <w:rFonts w:ascii="Times New Roman" w:hAnsi="Times New Roman" w:cs="Times New Roman"/>
                <w:sz w:val="22"/>
                <w:szCs w:val="22"/>
              </w:rPr>
            </w:r>
            <w:r>
              <w:rPr>
                <w:rFonts w:ascii="Times New Roman" w:hAnsi="Times New Roman" w:cs="Times New Roman"/>
                <w:sz w:val="22"/>
                <w:szCs w:val="22"/>
              </w:rPr>
            </w:r>
          </w:p>
          <w:p>
            <w:pPr>
              <w:pStyle w:val="1271"/>
              <w:ind w:left="113" w:right="113" w:firstLine="170"/>
              <w:jc w:val="left"/>
              <w:spacing w:before="96" w:after="60" w:line="240" w:lineRule="auto"/>
              <w:widowControl w:val="off"/>
              <w:rPr>
                <w:rFonts w:ascii="Times New Roman" w:hAnsi="Times New Roman" w:cs="Times New Roman"/>
                <w:sz w:val="22"/>
                <w:szCs w:val="22"/>
              </w:rPr>
            </w:pPr>
            <w:r>
              <w:rPr>
                <w:rFonts w:eastAsia="Times New Roman" w:cs="Times New Roman"/>
                <w:sz w:val="18"/>
                <w:szCs w:val="18"/>
                <w:lang w:val="ru-RU" w:eastAsia="en-US" w:bidi="ar-SA"/>
              </w:rPr>
              <w:t xml:space="preserve">- Номер реестровой записи из Реестра российской промышленной продукции (ПП РФ 719 от 17.07.2015).</w:t>
            </w:r>
            <w:r>
              <w:rPr>
                <w:rFonts w:ascii="Times New Roman" w:hAnsi="Times New Roman" w:cs="Times New Roman"/>
                <w:sz w:val="22"/>
                <w:szCs w:val="22"/>
              </w:rPr>
            </w:r>
            <w:r>
              <w:rPr>
                <w:rFonts w:ascii="Times New Roman" w:hAnsi="Times New Roman" w:cs="Times New Roman"/>
                <w:sz w:val="22"/>
                <w:szCs w:val="22"/>
              </w:rPr>
            </w:r>
          </w:p>
          <w:p>
            <w:pPr>
              <w:pStyle w:val="1271"/>
              <w:ind w:left="113" w:right="113" w:firstLine="170"/>
              <w:jc w:val="left"/>
              <w:spacing w:before="96" w:after="60" w:line="240" w:lineRule="auto"/>
              <w:widowControl w:val="off"/>
              <w:rPr>
                <w:rFonts w:ascii="Times New Roman" w:hAnsi="Times New Roman" w:cs="Times New Roman"/>
                <w:sz w:val="22"/>
                <w:szCs w:val="22"/>
              </w:rPr>
            </w:pPr>
            <w:r>
              <w:rPr>
                <w:rFonts w:eastAsia="Times New Roman" w:cs="Times New Roman"/>
                <w:sz w:val="18"/>
                <w:szCs w:val="18"/>
                <w:lang w:val="ru-RU" w:eastAsia="en-US" w:bidi="ar-SA"/>
              </w:rPr>
              <w:t xml:space="preserve">Либо:</w:t>
            </w:r>
            <w:r>
              <w:rPr>
                <w:rFonts w:ascii="Times New Roman" w:hAnsi="Times New Roman" w:cs="Times New Roman"/>
                <w:sz w:val="22"/>
                <w:szCs w:val="22"/>
              </w:rPr>
            </w:r>
            <w:r>
              <w:rPr>
                <w:rFonts w:ascii="Times New Roman" w:hAnsi="Times New Roman" w:cs="Times New Roman"/>
                <w:sz w:val="22"/>
                <w:szCs w:val="22"/>
              </w:rPr>
            </w:r>
          </w:p>
          <w:p>
            <w:pPr>
              <w:pStyle w:val="1369"/>
              <w:numPr>
                <w:ilvl w:val="7"/>
                <w:numId w:val="40"/>
              </w:numPr>
              <w:ind w:left="0" w:right="0" w:firstLine="0"/>
              <w:jc w:val="left"/>
              <w:spacing w:before="96" w:after="96" w:line="240" w:lineRule="auto"/>
              <w:widowControl w:val="off"/>
              <w:rPr>
                <w:rFonts w:ascii="Times New Roman" w:hAnsi="Times New Roman" w:cs="Times New Roman"/>
                <w:sz w:val="22"/>
                <w:szCs w:val="22"/>
              </w:rPr>
            </w:pPr>
            <w:r>
              <w:rPr>
                <w:rFonts w:eastAsia="Times New Roman" w:cs="Times New Roman"/>
                <w:sz w:val="18"/>
                <w:szCs w:val="18"/>
              </w:rPr>
              <w:t xml:space="preserve">б) Иной документ на предлагаемую продукцию, предусмотренный условиями Технических требований Документации о закупке (применяется в исключительных случаях при невозможности применить пункт а));</w:t>
            </w:r>
            <w:r>
              <w:rPr>
                <w:rFonts w:ascii="Times New Roman" w:hAnsi="Times New Roman" w:cs="Times New Roman"/>
                <w:sz w:val="22"/>
                <w:szCs w:val="22"/>
              </w:rPr>
            </w:r>
            <w:r>
              <w:rPr>
                <w:rFonts w:ascii="Times New Roman" w:hAnsi="Times New Roman" w:cs="Times New Roman"/>
                <w:sz w:val="22"/>
                <w:szCs w:val="22"/>
              </w:rPr>
            </w:r>
          </w:p>
        </w:tc>
      </w:tr>
      <w:tr>
        <w:tblPrEx/>
        <w:trPr/>
        <w:tc>
          <w:tcPr>
            <w:tcW w:w="1099" w:type="dxa"/>
            <w:textDirection w:val="lrTb"/>
            <w:noWrap w:val="false"/>
          </w:tcPr>
          <w:p>
            <w:pPr>
              <w:pStyle w:val="1271"/>
              <w:jc w:val="left"/>
              <w:spacing w:before="60" w:after="60" w:line="240" w:lineRule="auto"/>
              <w:widowControl w:val="off"/>
              <w:rPr>
                <w:sz w:val="18"/>
                <w:szCs w:val="18"/>
              </w:rPr>
            </w:pPr>
            <w:r>
              <w:rPr>
                <w:rFonts w:eastAsia="Calibri" w:cs="Arial"/>
                <w:sz w:val="18"/>
                <w:szCs w:val="18"/>
                <w:lang w:val="ru-RU" w:eastAsia="en-US" w:bidi="ar-SA"/>
              </w:rPr>
              <w:t xml:space="preserve">3. </w:t>
            </w:r>
            <w:r>
              <w:rPr>
                <w:sz w:val="18"/>
                <w:szCs w:val="18"/>
              </w:rPr>
            </w:r>
            <w:r>
              <w:rPr>
                <w:sz w:val="18"/>
                <w:szCs w:val="18"/>
              </w:rPr>
            </w:r>
          </w:p>
        </w:tc>
        <w:tc>
          <w:tcPr>
            <w:tcW w:w="1454" w:type="dxa"/>
            <w:textDirection w:val="lrTb"/>
            <w:noWrap w:val="false"/>
          </w:tcPr>
          <w:p>
            <w:pPr>
              <w:pStyle w:val="1342"/>
              <w:jc w:val="left"/>
              <w:spacing w:before="40" w:after="40" w:line="240" w:lineRule="auto"/>
              <w:widowControl w:val="off"/>
              <w:rPr>
                <w:rFonts w:ascii="Times New Roman" w:hAnsi="Times New Roman" w:cs="Times New Roman"/>
                <w:sz w:val="22"/>
                <w:szCs w:val="22"/>
              </w:rPr>
            </w:pPr>
            <w:r>
              <w:rPr>
                <w:rFonts w:eastAsia="Times New Roman" w:cs="Times New Roman"/>
                <w:iCs/>
                <w:sz w:val="18"/>
                <w:szCs w:val="18"/>
                <w:lang w:val="ru-RU" w:eastAsia="en-US" w:bidi="ar-SA"/>
              </w:rPr>
              <w:t xml:space="preserve">Неценовой критерий оценки первого уровня/ОРГ</w:t>
            </w:r>
            <w:r>
              <w:rPr>
                <w:rFonts w:ascii="Times New Roman" w:hAnsi="Times New Roman" w:cs="Times New Roman"/>
                <w:sz w:val="22"/>
                <w:szCs w:val="22"/>
              </w:rPr>
            </w:r>
            <w:r>
              <w:rPr>
                <w:rFonts w:ascii="Times New Roman" w:hAnsi="Times New Roman" w:cs="Times New Roman"/>
                <w:sz w:val="22"/>
                <w:szCs w:val="22"/>
              </w:rPr>
            </w:r>
          </w:p>
        </w:tc>
        <w:tc>
          <w:tcPr>
            <w:tcW w:w="1345" w:type="dxa"/>
            <w:textDirection w:val="lrTb"/>
            <w:noWrap w:val="false"/>
          </w:tcPr>
          <w:p>
            <w:pPr>
              <w:pStyle w:val="1342"/>
              <w:jc w:val="left"/>
              <w:spacing w:before="40" w:after="40" w:line="240" w:lineRule="auto"/>
              <w:widowControl w:val="off"/>
              <w:rPr>
                <w:rFonts w:ascii="Times New Roman" w:hAnsi="Times New Roman" w:cs="Times New Roman"/>
                <w:sz w:val="22"/>
                <w:szCs w:val="22"/>
              </w:rPr>
            </w:pPr>
            <w:r>
              <w:rPr>
                <w:rFonts w:eastAsia="Times New Roman" w:cs="Times New Roman"/>
                <w:sz w:val="18"/>
                <w:szCs w:val="18"/>
                <w:lang w:val="ru-RU" w:eastAsia="en-US" w:bidi="ar-SA"/>
              </w:rPr>
              <w:t xml:space="preserve">Финансовое состояние (устойчивость) Участника</w:t>
            </w:r>
            <w:r>
              <w:rPr>
                <w:rFonts w:ascii="Times New Roman" w:hAnsi="Times New Roman" w:cs="Times New Roman"/>
                <w:sz w:val="22"/>
                <w:szCs w:val="22"/>
              </w:rPr>
            </w:r>
            <w:r>
              <w:rPr>
                <w:rFonts w:ascii="Times New Roman" w:hAnsi="Times New Roman" w:cs="Times New Roman"/>
                <w:sz w:val="22"/>
                <w:szCs w:val="22"/>
              </w:rPr>
            </w:r>
          </w:p>
        </w:tc>
        <w:tc>
          <w:tcPr>
            <w:tcW w:w="1064" w:type="dxa"/>
            <w:textDirection w:val="lrTb"/>
            <w:noWrap w:val="false"/>
          </w:tcPr>
          <w:p>
            <w:pPr>
              <w:pStyle w:val="1342"/>
              <w:jc w:val="center"/>
              <w:spacing w:before="40" w:after="40" w:line="240" w:lineRule="auto"/>
              <w:widowControl w:val="off"/>
              <w:rPr>
                <w:rFonts w:ascii="Times New Roman" w:hAnsi="Times New Roman" w:cs="Times New Roman"/>
                <w:sz w:val="22"/>
                <w:szCs w:val="22"/>
              </w:rPr>
            </w:pPr>
            <w:r>
              <w:rPr>
                <w:rFonts w:eastAsia="Times New Roman" w:cs="Times New Roman"/>
                <w:i w:val="0"/>
                <w:iCs w:val="0"/>
                <w:sz w:val="18"/>
                <w:szCs w:val="18"/>
                <w:lang w:val="ru-RU" w:eastAsia="en-US" w:bidi="ar-SA"/>
              </w:rPr>
              <w:t xml:space="preserve">отсутствует</w:t>
            </w:r>
            <w:r>
              <w:rPr>
                <w:rFonts w:ascii="Times New Roman" w:hAnsi="Times New Roman" w:cs="Times New Roman"/>
                <w:sz w:val="22"/>
                <w:szCs w:val="22"/>
              </w:rPr>
            </w:r>
            <w:r>
              <w:rPr>
                <w:rFonts w:ascii="Times New Roman" w:hAnsi="Times New Roman" w:cs="Times New Roman"/>
                <w:sz w:val="22"/>
                <w:szCs w:val="22"/>
              </w:rPr>
            </w:r>
          </w:p>
        </w:tc>
        <w:tc>
          <w:tcPr>
            <w:tcW w:w="1171" w:type="dxa"/>
            <w:textDirection w:val="lrTb"/>
            <w:noWrap w:val="false"/>
          </w:tcPr>
          <w:p>
            <w:pPr>
              <w:pStyle w:val="1369"/>
              <w:numPr>
                <w:ilvl w:val="7"/>
                <w:numId w:val="41"/>
              </w:numPr>
              <w:ind w:left="0" w:right="0" w:firstLine="0"/>
              <w:jc w:val="center"/>
              <w:spacing w:before="40" w:after="40" w:line="240" w:lineRule="auto"/>
              <w:widowControl w:val="off"/>
              <w:rPr>
                <w:rFonts w:ascii="Times New Roman" w:hAnsi="Times New Roman" w:cs="Arial" w:cstheme="minorBidi"/>
                <w:color w:val="auto"/>
                <w:sz w:val="22"/>
                <w:szCs w:val="22"/>
              </w:rPr>
            </w:pPr>
            <w:r>
              <w:rPr>
                <w:rFonts w:eastAsia="Times New Roman" w:cs="Times New Roman"/>
                <w:iCs/>
                <w:color w:val="auto"/>
                <w:sz w:val="18"/>
                <w:szCs w:val="18"/>
              </w:rPr>
              <w:t xml:space="preserve">5%</w:t>
              <w:br/>
              <w:t xml:space="preserve">(В</w:t>
            </w:r>
            <w:r>
              <w:rPr>
                <w:rFonts w:eastAsia="Times New Roman" w:cs="Times New Roman"/>
                <w:iCs/>
                <w:color w:val="auto"/>
                <w:sz w:val="18"/>
                <w:szCs w:val="18"/>
                <w:vertAlign w:val="subscript"/>
              </w:rPr>
              <w:t xml:space="preserve">3</w:t>
            </w:r>
            <w:r>
              <w:rPr>
                <w:rFonts w:eastAsia="Times New Roman" w:cs="Times New Roman"/>
                <w:iCs/>
                <w:color w:val="auto"/>
                <w:sz w:val="18"/>
                <w:szCs w:val="18"/>
              </w:rPr>
              <w:t xml:space="preserve"> = 0,05)</w:t>
            </w:r>
            <w:r>
              <w:rPr>
                <w:rFonts w:ascii="Times New Roman" w:hAnsi="Times New Roman" w:cs="Arial" w:cstheme="minorBidi"/>
                <w:color w:val="auto"/>
                <w:sz w:val="22"/>
                <w:szCs w:val="22"/>
              </w:rPr>
            </w:r>
            <w:r>
              <w:rPr>
                <w:rFonts w:ascii="Times New Roman" w:hAnsi="Times New Roman" w:cs="Arial" w:cstheme="minorBidi"/>
                <w:color w:val="auto"/>
                <w:sz w:val="22"/>
                <w:szCs w:val="22"/>
              </w:rPr>
            </w:r>
          </w:p>
        </w:tc>
        <w:tc>
          <w:tcPr>
            <w:tcW w:w="1984" w:type="dxa"/>
            <w:textDirection w:val="lrTb"/>
            <w:noWrap w:val="false"/>
          </w:tcPr>
          <w:p>
            <w:pPr>
              <w:pStyle w:val="1342"/>
              <w:jc w:val="left"/>
              <w:spacing w:before="40" w:after="40" w:line="240" w:lineRule="auto"/>
              <w:widowControl w:val="off"/>
              <w:rPr>
                <w:rFonts w:ascii="Times New Roman" w:hAnsi="Times New Roman" w:cs="Times New Roman"/>
                <w:sz w:val="22"/>
                <w:szCs w:val="22"/>
              </w:rPr>
            </w:pPr>
            <w:r>
              <w:rPr>
                <w:rFonts w:eastAsia="Times New Roman" w:cs="Times New Roman"/>
                <w:sz w:val="18"/>
                <w:szCs w:val="18"/>
                <w:lang w:val="ru-RU" w:eastAsia="en-US" w:bidi="ar-SA"/>
              </w:rPr>
              <w:t xml:space="preserve">Чем выше результат оценки финансового состояния (устойчивости) Участника, тем выше предпочтительность</w:t>
            </w:r>
            <w:r>
              <w:rPr>
                <w:rFonts w:ascii="Times New Roman" w:hAnsi="Times New Roman" w:cs="Times New Roman"/>
                <w:sz w:val="22"/>
                <w:szCs w:val="22"/>
              </w:rPr>
            </w:r>
            <w:r>
              <w:rPr>
                <w:rFonts w:ascii="Times New Roman" w:hAnsi="Times New Roman" w:cs="Times New Roman"/>
                <w:sz w:val="22"/>
                <w:szCs w:val="22"/>
              </w:rPr>
            </w:r>
          </w:p>
        </w:tc>
        <w:tc>
          <w:tcPr>
            <w:tcW w:w="7285" w:type="dxa"/>
            <w:textDirection w:val="lrTb"/>
            <w:noWrap w:val="false"/>
          </w:tcPr>
          <w:p>
            <w:pPr>
              <w:pStyle w:val="1370"/>
              <w:jc w:val="left"/>
              <w:widowControl w:val="off"/>
              <w:rPr>
                <w:sz w:val="18"/>
                <w:szCs w:val="18"/>
              </w:rPr>
            </w:pPr>
            <w:r>
              <w:rPr>
                <w:rFonts w:ascii="Times New Roman" w:hAnsi="Times New Roman" w:eastAsia="Times New Roman" w:cs="Times New Roman"/>
                <w:sz w:val="18"/>
                <w:szCs w:val="18"/>
                <w:lang w:eastAsia="ru-RU"/>
              </w:rPr>
              <w:t xml:space="preserve">Расчет оценки предпочтительности по частному критерию по методу «Оценка предпочтительности посредством однозначной числовой шкалы измерений»:</w:t>
            </w:r>
            <w:r>
              <w:rPr>
                <w:sz w:val="18"/>
                <w:szCs w:val="18"/>
              </w:rPr>
            </w:r>
            <w:r>
              <w:rPr>
                <w:sz w:val="18"/>
                <w:szCs w:val="18"/>
              </w:rPr>
            </w:r>
          </w:p>
          <w:p>
            <w:pPr>
              <w:pStyle w:val="1370"/>
              <w:jc w:val="left"/>
              <w:widowControl w:val="off"/>
              <w:rPr>
                <w:sz w:val="18"/>
                <w:szCs w:val="18"/>
              </w:rPr>
            </w:pPr>
            <w:r>
              <w:rPr>
                <w:rFonts w:ascii="Times New Roman" w:hAnsi="Times New Roman" w:eastAsia="Times New Roman" w:cs="Times New Roman"/>
                <w:sz w:val="18"/>
                <w:szCs w:val="18"/>
                <w:lang w:eastAsia="ru-RU"/>
              </w:rPr>
              <w:t xml:space="preserve">Порядок осуществления оценки (значение оцениваемого параметра), в зависимости от полученного Участником (с -ой заявкой) значения расчетного балла (интегральног</w:t>
            </w:r>
            <w:r>
              <w:rPr>
                <w:rFonts w:ascii="Times New Roman" w:hAnsi="Times New Roman" w:eastAsia="Times New Roman" w:cs="Times New Roman"/>
                <w:sz w:val="18"/>
                <w:szCs w:val="18"/>
                <w:lang w:eastAsia="ru-RU"/>
              </w:rPr>
              <w:t xml:space="preserve">о показателя финансового состояния) и установленной соответствующей характеристики его финансового состояния (кризисное / неустойчивое / устойчивое) по результатам проведенной в рамках аккредитации оценки его финансового состояния (устойчивости), при этом:</w:t>
            </w:r>
            <w:r>
              <w:rPr>
                <w:sz w:val="18"/>
                <w:szCs w:val="18"/>
              </w:rPr>
            </w:r>
            <w:r>
              <w:rPr>
                <w:sz w:val="18"/>
                <w:szCs w:val="18"/>
              </w:rPr>
            </w:r>
          </w:p>
          <w:p>
            <w:pPr>
              <w:pStyle w:val="1370"/>
              <w:jc w:val="left"/>
              <w:widowControl w:val="off"/>
              <w:rPr>
                <w:sz w:val="18"/>
                <w:szCs w:val="18"/>
              </w:rPr>
            </w:pPr>
            <w:r>
              <w:rPr>
                <w:rFonts w:ascii="Times New Roman" w:hAnsi="Times New Roman" w:eastAsia="Times New Roman" w:cs="Times New Roman"/>
                <w:sz w:val="18"/>
                <w:szCs w:val="18"/>
                <w:lang w:eastAsia="ru-RU"/>
              </w:rPr>
              <w:t xml:space="preserve">    • </w:t>
            </w:r>
            <w:r>
              <w:rPr>
                <w:rFonts w:ascii="Times New Roman" w:hAnsi="Times New Roman" w:eastAsia="Times New Roman" w:cs="Times New Roman"/>
                <w:sz w:val="18"/>
                <w:szCs w:val="18"/>
                <w:lang w:eastAsia="ru-RU"/>
              </w:rPr>
              <w:t xml:space="preserve">порядок проведения оценки финансового состояния (устойчивости) Участника установлен в Приложении 4 к Положению об аккредитации1;</w:t>
            </w:r>
            <w:r>
              <w:rPr>
                <w:sz w:val="18"/>
                <w:szCs w:val="18"/>
              </w:rPr>
            </w:r>
            <w:r>
              <w:rPr>
                <w:sz w:val="18"/>
                <w:szCs w:val="18"/>
              </w:rPr>
            </w:r>
          </w:p>
          <w:p>
            <w:pPr>
              <w:pStyle w:val="1370"/>
              <w:jc w:val="left"/>
              <w:widowControl w:val="off"/>
              <w:rPr>
                <w:sz w:val="18"/>
                <w:szCs w:val="18"/>
              </w:rPr>
            </w:pPr>
            <w:r>
              <w:rPr>
                <w:rFonts w:ascii="Times New Roman" w:hAnsi="Times New Roman" w:eastAsia="Times New Roman" w:cs="Times New Roman"/>
                <w:sz w:val="18"/>
                <w:szCs w:val="18"/>
                <w:lang w:eastAsia="ru-RU"/>
              </w:rPr>
              <w:t xml:space="preserve">    • </w:t>
            </w:r>
            <w:r>
              <w:rPr>
                <w:rFonts w:ascii="Times New Roman" w:hAnsi="Times New Roman" w:eastAsia="Times New Roman" w:cs="Times New Roman"/>
                <w:sz w:val="18"/>
                <w:szCs w:val="18"/>
                <w:lang w:eastAsia="ru-RU"/>
              </w:rPr>
              <w:t xml:space="preserve">исходными данными для расчета интегрального показателя финансовог</w:t>
            </w:r>
            <w:r>
              <w:rPr>
                <w:rFonts w:ascii="Times New Roman" w:hAnsi="Times New Roman" w:eastAsia="Times New Roman" w:cs="Times New Roman"/>
                <w:sz w:val="18"/>
                <w:szCs w:val="18"/>
                <w:lang w:eastAsia="ru-RU"/>
              </w:rPr>
              <w:t xml:space="preserve">о состояния Участника являются сведения, опубликованные в государственном информационном ресурсе бухгалтерской (финансовой) отчетности организаций (https://bo.nalog.ru) за предыдущий отчетный период (год) по состоянию на дату окончания срока подачи заявок.</w:t>
            </w:r>
            <w:r>
              <w:rPr>
                <w:sz w:val="18"/>
                <w:szCs w:val="18"/>
              </w:rPr>
            </w:r>
            <w:r>
              <w:rPr>
                <w:sz w:val="18"/>
                <w:szCs w:val="18"/>
              </w:rPr>
            </w:r>
          </w:p>
          <w:p>
            <w:pPr>
              <w:pStyle w:val="1370"/>
              <w:jc w:val="left"/>
              <w:widowControl w:val="off"/>
              <w:rPr>
                <w:sz w:val="18"/>
                <w:szCs w:val="18"/>
              </w:rPr>
            </w:pPr>
            <w:r>
              <w:rPr>
                <w:rFonts w:ascii="Times New Roman" w:hAnsi="Times New Roman" w:eastAsia="Times New Roman" w:cs="Times New Roman"/>
                <w:sz w:val="18"/>
                <w:szCs w:val="18"/>
                <w:lang w:eastAsia="ru-RU"/>
              </w:rPr>
              <w:t xml:space="preserve">Если Участник в соответствии с законодательством не размещает сведения о своей бухгалтерской (финансовой) отчетности (по формам ОКУД 0710001, 0710002) в упомянутом государственном информацио</w:t>
            </w:r>
            <w:r>
              <w:rPr>
                <w:rFonts w:ascii="Times New Roman" w:hAnsi="Times New Roman" w:eastAsia="Times New Roman" w:cs="Times New Roman"/>
                <w:sz w:val="18"/>
                <w:szCs w:val="18"/>
                <w:lang w:eastAsia="ru-RU"/>
              </w:rPr>
              <w:t xml:space="preserve">нном ресурсе – оценка его финансового состояния производится на основании электронной копии бухгалтерского баланса (ОКУД 0710001) и отчета о финансовых результатах (ОКУД 0710002) за последний завершенный финансовый год, с отметкой налогового органа о прием</w:t>
            </w:r>
            <w:r>
              <w:rPr>
                <w:rFonts w:ascii="Times New Roman" w:hAnsi="Times New Roman" w:eastAsia="Times New Roman" w:cs="Times New Roman"/>
                <w:sz w:val="18"/>
                <w:szCs w:val="18"/>
                <w:lang w:eastAsia="ru-RU"/>
              </w:rPr>
              <w:t xml:space="preserve">е или с приложением квитанции о приеме и (или) извещения о вводе сведений налоговым органом, представленной в составе Заявки на аккредитацию (или отдельно в составе заявки на участие в закупке, если ранее при прохождении аккредитации не были представлены).</w:t>
            </w:r>
            <w:r>
              <w:rPr>
                <w:sz w:val="18"/>
                <w:szCs w:val="18"/>
              </w:rPr>
            </w:r>
            <w:r>
              <w:rPr>
                <w:sz w:val="18"/>
                <w:szCs w:val="18"/>
              </w:rPr>
            </w:r>
          </w:p>
          <w:p>
            <w:pPr>
              <w:pStyle w:val="1370"/>
              <w:jc w:val="left"/>
              <w:widowControl w:val="off"/>
              <w:rPr>
                <w:sz w:val="18"/>
                <w:szCs w:val="18"/>
              </w:rPr>
            </w:pPr>
            <w:r>
              <w:rPr>
                <w:rFonts w:ascii="Times New Roman" w:hAnsi="Times New Roman" w:eastAsia="Times New Roman" w:cs="Times New Roman"/>
                <w:sz w:val="18"/>
                <w:szCs w:val="18"/>
                <w:lang w:eastAsia="ru-RU"/>
              </w:rPr>
              <w:t xml:space="preserve">Если Участник в соответствии с законодательством формирует отчетность по формам ОКУД 0503730, 0503721 (и (или) освобожден от предоставления дополнительного экземпляра отчетности для размещения н</w:t>
            </w:r>
            <w:r>
              <w:rPr>
                <w:rFonts w:ascii="Times New Roman" w:hAnsi="Times New Roman" w:eastAsia="Times New Roman" w:cs="Times New Roman"/>
                <w:sz w:val="18"/>
                <w:szCs w:val="18"/>
                <w:lang w:eastAsia="ru-RU"/>
              </w:rPr>
              <w:t xml:space="preserve">а официальном сайте ФНС России) – оценка его финансового состояния производится на основании представленных в составе Заявки на аккредитацию (или отдельно в составе заявки на участие в закупке, если ранее при прохождении аккредитации не были представлены):</w:t>
            </w:r>
            <w:r>
              <w:rPr>
                <w:sz w:val="18"/>
                <w:szCs w:val="18"/>
              </w:rPr>
            </w:r>
            <w:r>
              <w:rPr>
                <w:sz w:val="18"/>
                <w:szCs w:val="18"/>
              </w:rPr>
            </w:r>
          </w:p>
          <w:p>
            <w:pPr>
              <w:pStyle w:val="1370"/>
              <w:jc w:val="left"/>
              <w:widowControl w:val="off"/>
              <w:rPr>
                <w:sz w:val="18"/>
                <w:szCs w:val="18"/>
              </w:rPr>
            </w:pPr>
            <w:r>
              <w:rPr>
                <w:rFonts w:ascii="Times New Roman" w:hAnsi="Times New Roman" w:eastAsia="Times New Roman" w:cs="Times New Roman"/>
                <w:sz w:val="18"/>
                <w:szCs w:val="18"/>
                <w:lang w:eastAsia="ru-RU"/>
              </w:rPr>
              <w:t xml:space="preserve">    • </w:t>
            </w:r>
            <w:r>
              <w:rPr>
                <w:rFonts w:ascii="Times New Roman" w:hAnsi="Times New Roman" w:eastAsia="Times New Roman" w:cs="Times New Roman"/>
                <w:sz w:val="18"/>
                <w:szCs w:val="18"/>
                <w:lang w:eastAsia="ru-RU"/>
              </w:rPr>
              <w:t xml:space="preserve">электронной копии бухг</w:t>
            </w:r>
            <w:r>
              <w:rPr>
                <w:rFonts w:ascii="Times New Roman" w:hAnsi="Times New Roman" w:eastAsia="Times New Roman" w:cs="Times New Roman"/>
                <w:sz w:val="18"/>
                <w:szCs w:val="18"/>
                <w:lang w:eastAsia="ru-RU"/>
              </w:rPr>
              <w:t xml:space="preserve">алтерской (финансовой) отчетности по формам ОКУД 0503730, 0503721 за последний завершенный и предшествующий ему финансовый год, с отметкой налогового органа о приеме или с приложением квитанции о приеме и (или) извещения о вводе сведений налоговым органом;</w:t>
            </w:r>
            <w:r>
              <w:rPr>
                <w:sz w:val="18"/>
                <w:szCs w:val="18"/>
              </w:rPr>
            </w:r>
            <w:r>
              <w:rPr>
                <w:sz w:val="18"/>
                <w:szCs w:val="18"/>
              </w:rPr>
            </w:r>
          </w:p>
          <w:p>
            <w:pPr>
              <w:pStyle w:val="1370"/>
              <w:jc w:val="left"/>
              <w:widowControl w:val="off"/>
              <w:rPr>
                <w:sz w:val="18"/>
                <w:szCs w:val="18"/>
              </w:rPr>
            </w:pPr>
            <w:r>
              <w:rPr>
                <w:rFonts w:ascii="Times New Roman" w:hAnsi="Times New Roman" w:eastAsia="Times New Roman" w:cs="Times New Roman"/>
                <w:sz w:val="18"/>
                <w:szCs w:val="18"/>
                <w:lang w:eastAsia="ru-RU"/>
              </w:rPr>
              <w:t xml:space="preserve">    • </w:t>
            </w:r>
            <w:r>
              <w:rPr>
                <w:rFonts w:ascii="Times New Roman" w:hAnsi="Times New Roman" w:eastAsia="Times New Roman" w:cs="Times New Roman"/>
                <w:sz w:val="18"/>
                <w:szCs w:val="18"/>
                <w:lang w:eastAsia="ru-RU"/>
              </w:rPr>
              <w:t xml:space="preserve">дополнительных сведений о размере всех требуемых показателей согласно данным бухгалтерской (финансовой) отчетности по установленной форме (Приложение № 11).</w:t>
            </w:r>
            <w:r>
              <w:rPr>
                <w:sz w:val="18"/>
                <w:szCs w:val="18"/>
              </w:rPr>
            </w:r>
            <w:r>
              <w:rPr>
                <w:sz w:val="18"/>
                <w:szCs w:val="18"/>
              </w:rPr>
            </w:r>
          </w:p>
          <w:p>
            <w:pPr>
              <w:pStyle w:val="1370"/>
              <w:jc w:val="left"/>
              <w:widowControl w:val="off"/>
              <w:rPr>
                <w:sz w:val="18"/>
                <w:szCs w:val="18"/>
              </w:rPr>
            </w:pPr>
            <w:r>
              <w:rPr>
                <w:rFonts w:ascii="Times New Roman" w:hAnsi="Times New Roman" w:eastAsia="Times New Roman" w:cs="Times New Roman"/>
                <w:sz w:val="18"/>
                <w:szCs w:val="18"/>
                <w:lang w:eastAsia="ru-RU"/>
              </w:rPr>
              <w:t xml:space="preserve">Оценка предпочтительности по частному критерию осуществляется в соответствии со следующей шкалой:</w:t>
            </w:r>
            <w:r>
              <w:rPr>
                <w:sz w:val="18"/>
                <w:szCs w:val="18"/>
              </w:rPr>
            </w:r>
            <w:r>
              <w:rPr>
                <w:sz w:val="18"/>
                <w:szCs w:val="18"/>
              </w:rPr>
            </w:r>
          </w:p>
          <w:tbl>
            <w:tblPr>
              <w:tblW w:w="7052" w:type="dxa"/>
              <w:tblInd w:w="0" w:type="dxa"/>
              <w:tblLayout w:type="fixed"/>
              <w:tblCellMar>
                <w:left w:w="108" w:type="dxa"/>
                <w:top w:w="0" w:type="dxa"/>
                <w:right w:w="108" w:type="dxa"/>
                <w:bottom w:w="0" w:type="dxa"/>
              </w:tblCellMar>
              <w:tblLook w:val="04A0" w:firstRow="1" w:lastRow="0" w:firstColumn="1" w:lastColumn="0" w:noHBand="0" w:noVBand="1"/>
            </w:tblPr>
            <w:tblGrid>
              <w:gridCol w:w="708"/>
              <w:gridCol w:w="6343"/>
            </w:tblGrid>
            <w:tr>
              <w:tblPrEx/>
              <w:trPr>
                <w:cantSplit/>
              </w:trPr>
              <w:tc>
                <w:tcPr>
                  <w:tcBorders>
                    <w:top w:val="single" w:color="000000" w:sz="4" w:space="0"/>
                    <w:left w:val="single" w:color="000000" w:sz="4" w:space="0"/>
                    <w:bottom w:val="single" w:color="000000" w:sz="4" w:space="0"/>
                    <w:right w:val="single" w:color="000000" w:sz="4" w:space="0"/>
                  </w:tcBorders>
                  <w:tcW w:w="708" w:type="dxa"/>
                  <w:textDirection w:val="lrTb"/>
                  <w:noWrap w:val="false"/>
                </w:tcPr>
                <w:p>
                  <w:pPr>
                    <w:pStyle w:val="1370"/>
                    <w:numPr>
                      <w:ilvl w:val="7"/>
                      <w:numId w:val="42"/>
                    </w:numPr>
                    <w:ind w:left="0" w:right="-75" w:firstLine="0"/>
                    <w:jc w:val="left"/>
                    <w:spacing w:before="40" w:after="40"/>
                    <w:widowControl w:val="off"/>
                    <w:tabs>
                      <w:tab w:val="left" w:pos="35" w:leader="none"/>
                      <w:tab w:val="clear" w:pos="708" w:leader="none"/>
                    </w:tabs>
                    <w:rPr>
                      <w:sz w:val="18"/>
                      <w:szCs w:val="18"/>
                    </w:rPr>
                  </w:pPr>
                  <w:r>
                    <w:rPr>
                      <w:rFonts w:ascii="Times New Roman" w:hAnsi="Times New Roman" w:eastAsia="Times New Roman" w:cs="Times New Roman"/>
                      <w:sz w:val="18"/>
                      <w:szCs w:val="18"/>
                      <w:lang w:eastAsia="ru-RU"/>
                    </w:rPr>
                    <w:t xml:space="preserve">Б</w:t>
                  </w:r>
                  <w:r>
                    <w:rPr>
                      <w:rFonts w:ascii="Times New Roman" w:hAnsi="Times New Roman" w:eastAsia="Times New Roman" w:cs="Times New Roman"/>
                      <w:sz w:val="18"/>
                      <w:szCs w:val="18"/>
                      <w:vertAlign w:val="subscript"/>
                      <w:lang w:val="en-US" w:eastAsia="ru-RU"/>
                    </w:rPr>
                    <w:t xml:space="preserve">3</w:t>
                  </w:r>
                  <w:r>
                    <w:rPr>
                      <w:rFonts w:ascii="Times New Roman" w:hAnsi="Times New Roman" w:eastAsia="Times New Roman" w:cs="Times New Roman"/>
                      <w:b/>
                      <w:sz w:val="18"/>
                      <w:szCs w:val="18"/>
                      <w:lang w:eastAsia="ru-RU"/>
                    </w:rPr>
                    <w:t xml:space="preserve"> </w:t>
                  </w:r>
                  <w:r>
                    <w:rPr>
                      <w:rFonts w:ascii="Times New Roman" w:hAnsi="Times New Roman" w:eastAsia="Times New Roman" w:cs="Times New Roman"/>
                      <w:sz w:val="18"/>
                      <w:szCs w:val="18"/>
                      <w:lang w:eastAsia="ru-RU"/>
                    </w:rPr>
                    <w:t xml:space="preserve">= 0</w:t>
                  </w:r>
                  <w:r>
                    <w:rPr>
                      <w:sz w:val="18"/>
                      <w:szCs w:val="18"/>
                    </w:rPr>
                  </w:r>
                  <w:r>
                    <w:rPr>
                      <w:sz w:val="18"/>
                      <w:szCs w:val="18"/>
                    </w:rPr>
                  </w:r>
                </w:p>
              </w:tc>
              <w:tc>
                <w:tcPr>
                  <w:tcBorders>
                    <w:top w:val="single" w:color="000000" w:sz="4" w:space="0"/>
                    <w:left w:val="single" w:color="000000" w:sz="4" w:space="0"/>
                    <w:bottom w:val="single" w:color="000000" w:sz="4" w:space="0"/>
                    <w:right w:val="single" w:color="000000" w:sz="4" w:space="0"/>
                  </w:tcBorders>
                  <w:tcW w:w="6343" w:type="dxa"/>
                  <w:textDirection w:val="lrTb"/>
                  <w:noWrap w:val="false"/>
                </w:tcPr>
                <w:p>
                  <w:pPr>
                    <w:pStyle w:val="1342"/>
                    <w:jc w:val="left"/>
                    <w:keepLines w:val="0"/>
                    <w:keepNext/>
                    <w:spacing w:before="40" w:after="40"/>
                    <w:widowControl/>
                    <w:rPr>
                      <w:rFonts w:ascii="Times New Roman" w:hAnsi="Times New Roman" w:eastAsia="Calibri"/>
                      <w:sz w:val="18"/>
                      <w:szCs w:val="18"/>
                      <w:lang w:val="ru-RU" w:eastAsia="en-US" w:bidi="ar-SA"/>
                    </w:rPr>
                  </w:pPr>
                  <w:r>
                    <w:rPr>
                      <w:rFonts w:eastAsia="Calibri"/>
                      <w:b w:val="0"/>
                      <w:sz w:val="18"/>
                      <w:szCs w:val="18"/>
                      <w:lang w:val="ru-RU" w:eastAsia="en-US" w:bidi="ar-SA"/>
                    </w:rPr>
                    <w:t xml:space="preserve">результат оценки финансового состояния (устойчивости): менее 0,45 баллов – Кризисное финансовое состояние</w:t>
                  </w:r>
                  <w:r>
                    <w:rPr>
                      <w:rFonts w:ascii="Times New Roman" w:hAnsi="Times New Roman" w:eastAsia="Calibri"/>
                      <w:sz w:val="18"/>
                      <w:szCs w:val="18"/>
                      <w:lang w:val="ru-RU" w:eastAsia="en-US" w:bidi="ar-SA"/>
                    </w:rPr>
                  </w:r>
                  <w:r>
                    <w:rPr>
                      <w:rFonts w:ascii="Times New Roman" w:hAnsi="Times New Roman" w:eastAsia="Calibri"/>
                      <w:sz w:val="18"/>
                      <w:szCs w:val="18"/>
                      <w:lang w:val="ru-RU" w:eastAsia="en-US" w:bidi="ar-SA"/>
                    </w:rPr>
                  </w:r>
                </w:p>
                <w:p>
                  <w:pPr>
                    <w:pStyle w:val="1342"/>
                    <w:jc w:val="left"/>
                    <w:keepLines w:val="0"/>
                    <w:keepNext/>
                    <w:spacing w:before="40" w:after="40"/>
                    <w:widowControl/>
                    <w:rPr>
                      <w:rFonts w:ascii="Times New Roman" w:hAnsi="Times New Roman" w:eastAsia="Calibri"/>
                      <w:sz w:val="18"/>
                      <w:szCs w:val="18"/>
                      <w:lang w:val="ru-RU" w:eastAsia="en-US" w:bidi="ar-SA"/>
                    </w:rPr>
                  </w:pPr>
                  <w:r>
                    <w:rPr>
                      <w:rFonts w:eastAsia="Calibri"/>
                      <w:b w:val="0"/>
                      <w:i/>
                      <w:iCs/>
                      <w:sz w:val="18"/>
                      <w:szCs w:val="18"/>
                      <w:lang w:val="ru-RU" w:eastAsia="en-US" w:bidi="ar-SA"/>
                    </w:rPr>
                    <w:t xml:space="preserve">или</w:t>
                  </w:r>
                  <w:r>
                    <w:rPr>
                      <w:rFonts w:ascii="Times New Roman" w:hAnsi="Times New Roman" w:eastAsia="Calibri"/>
                      <w:sz w:val="18"/>
                      <w:szCs w:val="18"/>
                      <w:lang w:val="ru-RU" w:eastAsia="en-US" w:bidi="ar-SA"/>
                    </w:rPr>
                  </w:r>
                  <w:r>
                    <w:rPr>
                      <w:rFonts w:ascii="Times New Roman" w:hAnsi="Times New Roman" w:eastAsia="Calibri"/>
                      <w:sz w:val="18"/>
                      <w:szCs w:val="18"/>
                      <w:lang w:val="ru-RU" w:eastAsia="en-US" w:bidi="ar-SA"/>
                    </w:rPr>
                  </w:r>
                </w:p>
                <w:p>
                  <w:pPr>
                    <w:pStyle w:val="1342"/>
                    <w:jc w:val="left"/>
                    <w:keepLines w:val="0"/>
                    <w:keepNext/>
                    <w:spacing w:before="40" w:after="40"/>
                    <w:widowControl/>
                    <w:rPr>
                      <w:rFonts w:ascii="Times New Roman" w:hAnsi="Times New Roman" w:eastAsia="Calibri"/>
                      <w:sz w:val="18"/>
                      <w:szCs w:val="18"/>
                      <w:lang w:val="ru-RU" w:eastAsia="en-US" w:bidi="ar-SA"/>
                    </w:rPr>
                  </w:pPr>
                  <w:r>
                    <w:rPr>
                      <w:rFonts w:eastAsia="Calibri"/>
                      <w:b w:val="0"/>
                      <w:sz w:val="18"/>
                      <w:szCs w:val="18"/>
                      <w:lang w:val="ru-RU" w:eastAsia="en-US" w:bidi="ar-SA"/>
                    </w:rPr>
                    <w:t xml:space="preserve">в случае отсутствия исходных данных для оценки финансового состояния Участника, в том числе если он является:</w:t>
                  </w:r>
                  <w:r>
                    <w:rPr>
                      <w:rFonts w:ascii="Times New Roman" w:hAnsi="Times New Roman" w:eastAsia="Calibri"/>
                      <w:sz w:val="18"/>
                      <w:szCs w:val="18"/>
                      <w:lang w:val="ru-RU" w:eastAsia="en-US" w:bidi="ar-SA"/>
                    </w:rPr>
                  </w:r>
                  <w:r>
                    <w:rPr>
                      <w:rFonts w:ascii="Times New Roman" w:hAnsi="Times New Roman" w:eastAsia="Calibri"/>
                      <w:sz w:val="18"/>
                      <w:szCs w:val="18"/>
                      <w:lang w:val="ru-RU" w:eastAsia="en-US" w:bidi="ar-SA"/>
                    </w:rPr>
                  </w:r>
                </w:p>
                <w:p>
                  <w:pPr>
                    <w:pStyle w:val="1342"/>
                    <w:numPr>
                      <w:ilvl w:val="0"/>
                      <w:numId w:val="37"/>
                    </w:numPr>
                    <w:ind w:left="142" w:hanging="142"/>
                    <w:jc w:val="left"/>
                    <w:keepLines w:val="0"/>
                    <w:keepNext/>
                    <w:spacing w:before="40" w:after="40"/>
                    <w:widowControl/>
                    <w:rPr>
                      <w:rFonts w:ascii="Times New Roman" w:hAnsi="Times New Roman" w:eastAsia="Calibri"/>
                      <w:sz w:val="18"/>
                      <w:szCs w:val="18"/>
                      <w:lang w:val="ru-RU" w:eastAsia="en-US" w:bidi="ar-SA"/>
                    </w:rPr>
                  </w:pPr>
                  <w:r>
                    <w:rPr>
                      <w:rFonts w:eastAsia="Calibri"/>
                      <w:b w:val="0"/>
                      <w:sz w:val="18"/>
                      <w:szCs w:val="18"/>
                      <w:lang w:val="ru-RU" w:eastAsia="en-US" w:bidi="ar-SA"/>
                    </w:rPr>
                    <w:t xml:space="preserve">вновь созданным юридическим лицом, которое на дату подачи заявки на участие в закупке в соответствии с законодательством не предоставил в налоговые органы бухгалтерскую (финансовую) отчетность за завершенный финансовый год;</w:t>
                  </w:r>
                  <w:r>
                    <w:rPr>
                      <w:rFonts w:ascii="Times New Roman" w:hAnsi="Times New Roman" w:eastAsia="Calibri"/>
                      <w:sz w:val="18"/>
                      <w:szCs w:val="18"/>
                      <w:lang w:val="ru-RU" w:eastAsia="en-US" w:bidi="ar-SA"/>
                    </w:rPr>
                  </w:r>
                  <w:r>
                    <w:rPr>
                      <w:rFonts w:ascii="Times New Roman" w:hAnsi="Times New Roman" w:eastAsia="Calibri"/>
                      <w:sz w:val="18"/>
                      <w:szCs w:val="18"/>
                      <w:lang w:val="ru-RU" w:eastAsia="en-US" w:bidi="ar-SA"/>
                    </w:rPr>
                  </w:r>
                </w:p>
                <w:p>
                  <w:pPr>
                    <w:pStyle w:val="1342"/>
                    <w:numPr>
                      <w:ilvl w:val="0"/>
                      <w:numId w:val="37"/>
                    </w:numPr>
                    <w:ind w:left="142" w:hanging="142"/>
                    <w:jc w:val="left"/>
                    <w:keepLines w:val="0"/>
                    <w:keepNext w:val="0"/>
                    <w:spacing w:before="40" w:after="40"/>
                    <w:widowControl/>
                    <w:rPr>
                      <w:rFonts w:ascii="Times New Roman" w:hAnsi="Times New Roman" w:eastAsia="Calibri"/>
                      <w:sz w:val="18"/>
                      <w:szCs w:val="18"/>
                      <w:lang w:val="ru-RU" w:eastAsia="en-US" w:bidi="ar-SA"/>
                    </w:rPr>
                  </w:pPr>
                  <w:r>
                    <w:rPr>
                      <w:rFonts w:eastAsia="Calibri"/>
                      <w:b w:val="0"/>
                      <w:sz w:val="18"/>
                      <w:szCs w:val="18"/>
                      <w:lang w:val="ru-RU" w:eastAsia="en-US" w:bidi="ar-SA"/>
                    </w:rPr>
                    <w:t xml:space="preserve">физическим лицом (индивидуальным предпринимателем и (или) применяющим специальный налоговый режим «Налог на профессиональный доход»), не ведущим бухгалтерскую (финансовую) отчетность;</w:t>
                  </w:r>
                  <w:r>
                    <w:rPr>
                      <w:rFonts w:ascii="Times New Roman" w:hAnsi="Times New Roman" w:eastAsia="Calibri"/>
                      <w:sz w:val="18"/>
                      <w:szCs w:val="18"/>
                      <w:lang w:val="ru-RU" w:eastAsia="en-US" w:bidi="ar-SA"/>
                    </w:rPr>
                  </w:r>
                  <w:r>
                    <w:rPr>
                      <w:rFonts w:ascii="Times New Roman" w:hAnsi="Times New Roman" w:eastAsia="Calibri"/>
                      <w:sz w:val="18"/>
                      <w:szCs w:val="18"/>
                      <w:lang w:val="ru-RU" w:eastAsia="en-US" w:bidi="ar-SA"/>
                    </w:rPr>
                  </w:r>
                </w:p>
              </w:tc>
            </w:tr>
            <w:tr>
              <w:tblPrEx/>
              <w:trPr>
                <w:cantSplit/>
              </w:trPr>
              <w:tc>
                <w:tcPr>
                  <w:tcBorders>
                    <w:top w:val="single" w:color="000000" w:sz="4" w:space="0"/>
                    <w:left w:val="single" w:color="000000" w:sz="4" w:space="0"/>
                    <w:bottom w:val="single" w:color="000000" w:sz="4" w:space="0"/>
                    <w:right w:val="single" w:color="000000" w:sz="4" w:space="0"/>
                  </w:tcBorders>
                  <w:tcW w:w="708" w:type="dxa"/>
                  <w:textDirection w:val="lrTb"/>
                  <w:noWrap w:val="false"/>
                </w:tcPr>
                <w:p>
                  <w:pPr>
                    <w:pStyle w:val="1370"/>
                    <w:numPr>
                      <w:ilvl w:val="7"/>
                      <w:numId w:val="42"/>
                    </w:numPr>
                    <w:ind w:left="0" w:right="-75" w:firstLine="0"/>
                    <w:jc w:val="left"/>
                    <w:spacing w:before="40" w:after="40"/>
                    <w:widowControl w:val="off"/>
                    <w:tabs>
                      <w:tab w:val="left" w:pos="35" w:leader="none"/>
                      <w:tab w:val="clear" w:pos="708" w:leader="none"/>
                    </w:tabs>
                    <w:rPr>
                      <w:sz w:val="18"/>
                      <w:szCs w:val="18"/>
                    </w:rPr>
                  </w:pPr>
                  <w:r>
                    <w:rPr>
                      <w:rFonts w:ascii="Times New Roman" w:hAnsi="Times New Roman" w:eastAsia="Times New Roman" w:cs="Times New Roman"/>
                      <w:sz w:val="18"/>
                      <w:szCs w:val="18"/>
                      <w:lang w:eastAsia="ru-RU"/>
                    </w:rPr>
                    <w:t xml:space="preserve">Б</w:t>
                  </w:r>
                  <w:r>
                    <w:rPr>
                      <w:rFonts w:ascii="Times New Roman" w:hAnsi="Times New Roman" w:eastAsia="Times New Roman" w:cs="Times New Roman"/>
                      <w:sz w:val="18"/>
                      <w:szCs w:val="18"/>
                      <w:vertAlign w:val="subscript"/>
                      <w:lang w:val="en-US" w:eastAsia="ru-RU"/>
                    </w:rPr>
                    <w:t xml:space="preserve">3</w:t>
                  </w:r>
                  <w:r>
                    <w:rPr>
                      <w:rFonts w:ascii="Times New Roman" w:hAnsi="Times New Roman" w:eastAsia="Times New Roman" w:cs="Times New Roman"/>
                      <w:sz w:val="18"/>
                      <w:szCs w:val="18"/>
                      <w:lang w:eastAsia="ru-RU"/>
                    </w:rPr>
                    <w:t xml:space="preserve"> = 3</w:t>
                  </w:r>
                  <w:r>
                    <w:rPr>
                      <w:sz w:val="18"/>
                      <w:szCs w:val="18"/>
                    </w:rPr>
                  </w:r>
                  <w:r>
                    <w:rPr>
                      <w:sz w:val="18"/>
                      <w:szCs w:val="18"/>
                    </w:rPr>
                  </w:r>
                </w:p>
              </w:tc>
              <w:tc>
                <w:tcPr>
                  <w:tcBorders>
                    <w:top w:val="single" w:color="000000" w:sz="4" w:space="0"/>
                    <w:left w:val="single" w:color="000000" w:sz="4" w:space="0"/>
                    <w:bottom w:val="single" w:color="000000" w:sz="4" w:space="0"/>
                    <w:right w:val="single" w:color="000000" w:sz="4" w:space="0"/>
                  </w:tcBorders>
                  <w:tcW w:w="6343" w:type="dxa"/>
                  <w:textDirection w:val="lrTb"/>
                  <w:noWrap w:val="false"/>
                </w:tcPr>
                <w:p>
                  <w:pPr>
                    <w:pStyle w:val="1342"/>
                    <w:jc w:val="left"/>
                    <w:spacing w:before="40" w:after="40"/>
                    <w:widowControl/>
                    <w:rPr>
                      <w:rFonts w:ascii="Times New Roman" w:hAnsi="Times New Roman" w:eastAsia="Calibri"/>
                      <w:sz w:val="18"/>
                      <w:szCs w:val="18"/>
                      <w:lang w:val="ru-RU" w:eastAsia="en-US" w:bidi="ar-SA"/>
                    </w:rPr>
                  </w:pPr>
                  <w:r>
                    <w:rPr>
                      <w:rFonts w:eastAsia="Calibri"/>
                      <w:sz w:val="18"/>
                      <w:szCs w:val="18"/>
                      <w:lang w:val="ru-RU" w:eastAsia="en-US" w:bidi="ar-SA"/>
                    </w:rPr>
                    <w:t xml:space="preserve">результат оценки финансового состояния (устойчивости): от 0,45 баллов включительно до 0,90 баллов включительно – Неустойчивое финансовое состояние;</w:t>
                  </w:r>
                  <w:r>
                    <w:rPr>
                      <w:rFonts w:ascii="Times New Roman" w:hAnsi="Times New Roman" w:eastAsia="Calibri"/>
                      <w:sz w:val="18"/>
                      <w:szCs w:val="18"/>
                      <w:lang w:val="ru-RU" w:eastAsia="en-US" w:bidi="ar-SA"/>
                    </w:rPr>
                  </w:r>
                  <w:r>
                    <w:rPr>
                      <w:rFonts w:ascii="Times New Roman" w:hAnsi="Times New Roman" w:eastAsia="Calibri"/>
                      <w:sz w:val="18"/>
                      <w:szCs w:val="18"/>
                      <w:lang w:val="ru-RU" w:eastAsia="en-US" w:bidi="ar-SA"/>
                    </w:rPr>
                  </w:r>
                </w:p>
              </w:tc>
            </w:tr>
            <w:tr>
              <w:tblPrEx/>
              <w:trPr>
                <w:cantSplit/>
              </w:trPr>
              <w:tc>
                <w:tcPr>
                  <w:tcBorders>
                    <w:top w:val="single" w:color="000000" w:sz="4" w:space="0"/>
                    <w:left w:val="single" w:color="000000" w:sz="4" w:space="0"/>
                    <w:bottom w:val="single" w:color="000000" w:sz="4" w:space="0"/>
                    <w:right w:val="single" w:color="000000" w:sz="4" w:space="0"/>
                  </w:tcBorders>
                  <w:tcW w:w="708" w:type="dxa"/>
                  <w:textDirection w:val="lrTb"/>
                  <w:noWrap w:val="false"/>
                </w:tcPr>
                <w:p>
                  <w:pPr>
                    <w:pStyle w:val="1370"/>
                    <w:numPr>
                      <w:ilvl w:val="7"/>
                      <w:numId w:val="42"/>
                    </w:numPr>
                    <w:ind w:left="0" w:right="-75" w:firstLine="0"/>
                    <w:jc w:val="left"/>
                    <w:spacing w:before="40" w:after="40"/>
                    <w:widowControl w:val="off"/>
                    <w:tabs>
                      <w:tab w:val="left" w:pos="35" w:leader="none"/>
                      <w:tab w:val="clear" w:pos="708" w:leader="none"/>
                    </w:tabs>
                    <w:rPr>
                      <w:sz w:val="18"/>
                      <w:szCs w:val="18"/>
                    </w:rPr>
                  </w:pPr>
                  <w:r>
                    <w:rPr>
                      <w:rFonts w:ascii="Times New Roman" w:hAnsi="Times New Roman" w:eastAsia="Times New Roman" w:cs="Times New Roman"/>
                      <w:sz w:val="18"/>
                      <w:szCs w:val="18"/>
                      <w:lang w:eastAsia="ru-RU"/>
                    </w:rPr>
                    <w:t xml:space="preserve">Б</w:t>
                  </w:r>
                  <w:r>
                    <w:rPr>
                      <w:rFonts w:ascii="Times New Roman" w:hAnsi="Times New Roman" w:eastAsia="Times New Roman" w:cs="Times New Roman"/>
                      <w:sz w:val="18"/>
                      <w:szCs w:val="18"/>
                      <w:vertAlign w:val="subscript"/>
                      <w:lang w:val="en-US" w:eastAsia="ru-RU"/>
                    </w:rPr>
                    <w:t xml:space="preserve">3</w:t>
                  </w:r>
                  <w:r>
                    <w:rPr>
                      <w:rFonts w:ascii="Times New Roman" w:hAnsi="Times New Roman" w:eastAsia="Times New Roman" w:cs="Times New Roman"/>
                      <w:sz w:val="18"/>
                      <w:szCs w:val="18"/>
                      <w:lang w:eastAsia="ru-RU"/>
                    </w:rPr>
                    <w:t xml:space="preserve"> = 5</w:t>
                  </w:r>
                  <w:r>
                    <w:rPr>
                      <w:sz w:val="18"/>
                      <w:szCs w:val="18"/>
                    </w:rPr>
                  </w:r>
                  <w:r>
                    <w:rPr>
                      <w:sz w:val="18"/>
                      <w:szCs w:val="18"/>
                    </w:rPr>
                  </w:r>
                </w:p>
              </w:tc>
              <w:tc>
                <w:tcPr>
                  <w:tcBorders>
                    <w:top w:val="single" w:color="000000" w:sz="4" w:space="0"/>
                    <w:left w:val="single" w:color="000000" w:sz="4" w:space="0"/>
                    <w:bottom w:val="single" w:color="000000" w:sz="4" w:space="0"/>
                    <w:right w:val="single" w:color="000000" w:sz="4" w:space="0"/>
                  </w:tcBorders>
                  <w:tcW w:w="6343" w:type="dxa"/>
                  <w:textDirection w:val="lrTb"/>
                  <w:noWrap w:val="false"/>
                </w:tcPr>
                <w:p>
                  <w:pPr>
                    <w:pStyle w:val="1342"/>
                    <w:jc w:val="left"/>
                    <w:spacing w:before="40" w:after="40"/>
                    <w:widowControl/>
                    <w:rPr>
                      <w:rFonts w:ascii="Times New Roman" w:hAnsi="Times New Roman" w:eastAsia="Calibri"/>
                      <w:sz w:val="18"/>
                      <w:szCs w:val="18"/>
                      <w:lang w:val="ru-RU" w:eastAsia="en-US" w:bidi="ar-SA"/>
                    </w:rPr>
                  </w:pPr>
                  <w:r>
                    <w:rPr>
                      <w:rFonts w:eastAsia="Calibri"/>
                      <w:sz w:val="18"/>
                      <w:szCs w:val="18"/>
                      <w:lang w:val="ru-RU" w:eastAsia="en-US" w:bidi="ar-SA"/>
                    </w:rPr>
                    <w:t xml:space="preserve">результат оценки финансового состояния (устойчивости): более 0,90 баллов – Удовлетворительное финансовое состояние,</w:t>
                  </w:r>
                  <w:r>
                    <w:rPr>
                      <w:rFonts w:ascii="Times New Roman" w:hAnsi="Times New Roman" w:eastAsia="Calibri"/>
                      <w:sz w:val="18"/>
                      <w:szCs w:val="18"/>
                      <w:lang w:val="ru-RU" w:eastAsia="en-US" w:bidi="ar-SA"/>
                    </w:rPr>
                  </w:r>
                  <w:r>
                    <w:rPr>
                      <w:rFonts w:ascii="Times New Roman" w:hAnsi="Times New Roman" w:eastAsia="Calibri"/>
                      <w:sz w:val="18"/>
                      <w:szCs w:val="18"/>
                      <w:lang w:val="ru-RU" w:eastAsia="en-US" w:bidi="ar-SA"/>
                    </w:rPr>
                  </w:r>
                </w:p>
              </w:tc>
            </w:tr>
          </w:tbl>
          <w:p>
            <w:pPr>
              <w:pStyle w:val="1370"/>
              <w:jc w:val="left"/>
              <w:spacing w:before="96" w:after="0"/>
              <w:widowControl w:val="off"/>
              <w:rPr>
                <w:sz w:val="18"/>
                <w:szCs w:val="18"/>
              </w:rPr>
            </w:pPr>
            <w:r>
              <w:rPr>
                <w:rFonts w:ascii="Times New Roman" w:hAnsi="Times New Roman" w:eastAsia="Times New Roman" w:cs="Times New Roman"/>
                <w:sz w:val="18"/>
                <w:szCs w:val="18"/>
                <w:lang w:eastAsia="ru-RU"/>
              </w:rPr>
              <w:t xml:space="preserve">где:</w:t>
            </w:r>
            <w:r>
              <w:rPr>
                <w:sz w:val="18"/>
                <w:szCs w:val="18"/>
              </w:rPr>
            </w:r>
            <w:r>
              <w:rPr>
                <w:sz w:val="18"/>
                <w:szCs w:val="18"/>
              </w:rPr>
            </w:r>
          </w:p>
          <w:p>
            <w:pPr>
              <w:pStyle w:val="1370"/>
              <w:jc w:val="left"/>
              <w:spacing w:before="96" w:after="0"/>
              <w:widowControl w:val="off"/>
              <w:rPr>
                <w:sz w:val="18"/>
                <w:szCs w:val="18"/>
              </w:rPr>
            </w:pPr>
            <w:r>
              <w:rPr>
                <w:rFonts w:ascii="Times New Roman" w:hAnsi="Times New Roman" w:eastAsia="Times New Roman" w:cs="Times New Roman"/>
                <w:sz w:val="18"/>
                <w:szCs w:val="18"/>
                <w:lang w:eastAsia="ru-RU"/>
              </w:rPr>
              <w:t xml:space="preserve"> </w:t>
            </w:r>
            <w:r>
              <w:rPr>
                <w:rFonts w:ascii="Times New Roman" w:hAnsi="Times New Roman" w:eastAsia="Times New Roman" w:cs="Times New Roman"/>
                <w:sz w:val="18"/>
                <w:szCs w:val="18"/>
                <w:lang w:eastAsia="ru-RU"/>
              </w:rPr>
            </w:r>
            <m:oMath>
              <m:sSub>
                <m:sSubPr>
                  <m:ctrlPr/>
                </m:sSubPr>
                <m:e>
                  <m:r>
                    <w:rPr>
                      <w:rFonts w:ascii="Cambria Math" w:hAnsi="Cambria Math"/>
                    </w:rPr>
                    <m:rPr/>
                    <m:t>Б</m:t>
                  </m:r>
                </m:e>
                <m:sub>
                  <m:r>
                    <w:rPr>
                      <w:rFonts w:ascii="Cambria Math" w:hAnsi="Cambria Math"/>
                    </w:rPr>
                    <m:rPr/>
                    <m:t>i</m:t>
                  </m:r>
                </m:sub>
              </m:sSub>
            </m:oMath>
            <w:r>
              <w:rPr>
                <w:rFonts w:ascii="Times New Roman" w:hAnsi="Times New Roman" w:eastAsia="Times New Roman" w:cs="Times New Roman"/>
                <w:sz w:val="18"/>
                <w:szCs w:val="18"/>
                <w:lang w:eastAsia="ru-RU"/>
              </w:rPr>
              <w:t xml:space="preserve">– </w:t>
            </w:r>
            <w:r>
              <w:rPr>
                <w:rFonts w:ascii="Times New Roman" w:hAnsi="Times New Roman" w:eastAsia="Times New Roman" w:cs="Times New Roman"/>
                <w:sz w:val="18"/>
                <w:szCs w:val="18"/>
                <w:lang w:eastAsia="ru-RU"/>
              </w:rPr>
              <w:t xml:space="preserve">рассчитанная оценка предпочтительности по частному критерию оценки в баллах.</w:t>
            </w:r>
            <w:r>
              <w:rPr>
                <w:sz w:val="18"/>
                <w:szCs w:val="18"/>
              </w:rPr>
            </w:r>
            <w:r>
              <w:rPr>
                <w:sz w:val="18"/>
                <w:szCs w:val="18"/>
              </w:rPr>
            </w:r>
          </w:p>
          <w:p>
            <w:pPr>
              <w:pStyle w:val="1370"/>
              <w:jc w:val="left"/>
              <w:spacing w:before="96" w:after="0"/>
              <w:widowControl w:val="off"/>
              <w:rPr>
                <w:sz w:val="18"/>
                <w:szCs w:val="18"/>
              </w:rPr>
            </w:pPr>
            <w:r>
              <w:rPr>
                <w:rFonts w:ascii="Times New Roman" w:hAnsi="Times New Roman" w:eastAsia="Times New Roman" w:cs="Times New Roman"/>
                <w:sz w:val="18"/>
                <w:szCs w:val="18"/>
                <w:lang w:eastAsia="ru-RU"/>
              </w:rPr>
              <w:t xml:space="preserve">Шкала оценок от 0 до 5 баллов.</w:t>
            </w:r>
            <w:r>
              <w:rPr>
                <w:sz w:val="18"/>
                <w:szCs w:val="18"/>
              </w:rPr>
            </w:r>
            <w:r>
              <w:rPr>
                <w:sz w:val="18"/>
                <w:szCs w:val="18"/>
              </w:rPr>
            </w:r>
          </w:p>
          <w:p>
            <w:pPr>
              <w:pStyle w:val="1370"/>
              <w:jc w:val="left"/>
              <w:spacing w:before="96" w:after="0"/>
              <w:widowControl w:val="off"/>
              <w:rPr>
                <w:sz w:val="18"/>
                <w:szCs w:val="18"/>
              </w:rPr>
            </w:pPr>
            <w:r>
              <w:rPr>
                <w:rFonts w:ascii="Times New Roman" w:hAnsi="Times New Roman" w:eastAsia="Times New Roman" w:cs="Times New Roman"/>
                <w:sz w:val="18"/>
                <w:szCs w:val="18"/>
                <w:lang w:eastAsia="ru-RU"/>
              </w:rPr>
              <w:t xml:space="preserve">(В случае участия в закупке Генерального подрядчика – балл по данному критерию присваивается исходя из оценки финансового состояния Генерального подрядчика без учета субподрядчиков.</w:t>
            </w:r>
            <w:r>
              <w:rPr>
                <w:sz w:val="18"/>
                <w:szCs w:val="18"/>
              </w:rPr>
            </w:r>
            <w:r>
              <w:rPr>
                <w:sz w:val="18"/>
                <w:szCs w:val="18"/>
              </w:rPr>
            </w:r>
          </w:p>
          <w:p>
            <w:pPr>
              <w:pStyle w:val="1370"/>
              <w:jc w:val="left"/>
              <w:spacing w:before="96" w:after="0"/>
              <w:widowControl w:val="off"/>
              <w:rPr>
                <w:sz w:val="18"/>
                <w:szCs w:val="18"/>
              </w:rPr>
            </w:pPr>
            <w:r>
              <w:rPr>
                <w:rFonts w:ascii="Times New Roman" w:hAnsi="Times New Roman" w:eastAsia="Times New Roman" w:cs="Times New Roman"/>
                <w:sz w:val="18"/>
                <w:szCs w:val="18"/>
                <w:lang w:eastAsia="ru-RU"/>
              </w:rPr>
              <w:t xml:space="preserve">В случае </w:t>
            </w:r>
            <w:r>
              <w:rPr>
                <w:rFonts w:ascii="Times New Roman" w:hAnsi="Times New Roman" w:eastAsia="Times New Roman" w:cs="Times New Roman"/>
                <w:sz w:val="18"/>
                <w:szCs w:val="18"/>
                <w:lang w:eastAsia="ru-RU"/>
              </w:rPr>
              <w:t xml:space="preserve">участия в закупке Коллективного участника – балл по данному критерию присваивается исходя из средневзвешенной оценки финансового состояния всех членов такого Коллективного участника*, где весовая значимость показателя финансового состояния (устойчивости) к</w:t>
            </w:r>
            <w:r>
              <w:rPr>
                <w:rFonts w:ascii="Times New Roman" w:hAnsi="Times New Roman" w:eastAsia="Times New Roman" w:cs="Times New Roman"/>
                <w:sz w:val="18"/>
                <w:szCs w:val="18"/>
                <w:lang w:eastAsia="ru-RU"/>
              </w:rPr>
              <w:t xml:space="preserve">аждого члена коллективного участника определяется на основе объема поставляемой им продукции согласно Плану распределения объемов поставки продукции (форма 10) (Приложение № 4), представленному в заявке такого Коллективного участника на участие в закупке.)</w:t>
            </w:r>
            <w:r>
              <w:rPr>
                <w:sz w:val="18"/>
                <w:szCs w:val="18"/>
              </w:rPr>
            </w:r>
            <w:r>
              <w:rPr>
                <w:sz w:val="18"/>
                <w:szCs w:val="18"/>
              </w:rPr>
            </w:r>
          </w:p>
          <w:p>
            <w:pPr>
              <w:pStyle w:val="1370"/>
              <w:jc w:val="left"/>
              <w:spacing w:before="96" w:after="0"/>
              <w:widowControl w:val="off"/>
              <w:rPr>
                <w:sz w:val="18"/>
                <w:szCs w:val="18"/>
              </w:rPr>
            </w:pPr>
            <w:r>
              <w:rPr>
                <w:rFonts w:ascii="Times New Roman" w:hAnsi="Times New Roman" w:eastAsia="Times New Roman" w:cs="Times New Roman"/>
                <w:sz w:val="18"/>
                <w:szCs w:val="18"/>
                <w:lang w:eastAsia="ru-RU"/>
              </w:rPr>
              <w:t xml:space="preserve">* Примечание: В случае отсутствия в отношении какого-либо члена Коллективного участника исходных данных для оценки (в соответстви</w:t>
            </w:r>
            <w:r>
              <w:rPr>
                <w:rFonts w:ascii="Times New Roman" w:hAnsi="Times New Roman" w:eastAsia="Times New Roman" w:cs="Times New Roman"/>
                <w:sz w:val="18"/>
                <w:szCs w:val="18"/>
                <w:lang w:eastAsia="ru-RU"/>
              </w:rPr>
              <w:t xml:space="preserve">и с Приложением 4 к Положению об аккредитации) его финансового состояния (устойчивости), при расчете средневзвешенной оценки Коллективного участника в отношении такого члена (в формуле) применяется значение оценки финансового состояния, равное 0,00 баллов.</w:t>
            </w:r>
            <w:r>
              <w:rPr>
                <w:sz w:val="18"/>
                <w:szCs w:val="18"/>
              </w:rPr>
            </w:r>
            <w:r>
              <w:rPr>
                <w:sz w:val="18"/>
                <w:szCs w:val="18"/>
              </w:rPr>
            </w:r>
          </w:p>
        </w:tc>
      </w:tr>
      <w:tr>
        <w:tblPrEx/>
        <w:trPr/>
        <w:tc>
          <w:tcPr>
            <w:gridSpan w:val="4"/>
            <w:tcW w:w="4962" w:type="dxa"/>
            <w:textDirection w:val="lrTb"/>
            <w:noWrap w:val="false"/>
          </w:tcPr>
          <w:p>
            <w:pPr>
              <w:pStyle w:val="1342"/>
              <w:jc w:val="left"/>
              <w:spacing w:before="40" w:after="40" w:line="240" w:lineRule="auto"/>
              <w:widowControl w:val="off"/>
              <w:rPr>
                <w:sz w:val="18"/>
                <w:szCs w:val="18"/>
              </w:rPr>
            </w:pPr>
            <w:r>
              <w:rPr>
                <w:rFonts w:eastAsia="Calibri" w:cs="Arial"/>
                <w:sz w:val="18"/>
                <w:szCs w:val="18"/>
                <w:lang w:val="ru-RU" w:eastAsia="en-US" w:bidi="ar-SA"/>
              </w:rPr>
              <w:t xml:space="preserve">Итоговая оценка предпочтительности заявки:</w:t>
            </w:r>
            <w:r>
              <w:rPr>
                <w:sz w:val="18"/>
                <w:szCs w:val="18"/>
              </w:rPr>
            </w:r>
            <w:r>
              <w:rPr>
                <w:sz w:val="18"/>
                <w:szCs w:val="18"/>
              </w:rPr>
            </w:r>
          </w:p>
        </w:tc>
        <w:tc>
          <w:tcPr>
            <w:gridSpan w:val="3"/>
            <w:tcW w:w="10440" w:type="dxa"/>
            <w:textDirection w:val="lrTb"/>
            <w:noWrap w:val="false"/>
          </w:tcPr>
          <w:p>
            <w:pPr>
              <w:pStyle w:val="1342"/>
              <w:jc w:val="left"/>
              <w:spacing w:before="40" w:after="40" w:line="240" w:lineRule="auto"/>
              <w:widowControl w:val="off"/>
              <w:rPr>
                <w:sz w:val="18"/>
                <w:szCs w:val="18"/>
              </w:rPr>
            </w:pPr>
            <w:r>
              <w:rPr>
                <w:rFonts w:eastAsia="Calibri" w:cs="Arial"/>
                <w:sz w:val="18"/>
                <w:szCs w:val="18"/>
                <w:lang w:val="ru-RU" w:eastAsia="en-US" w:bidi="ar-SA"/>
              </w:rPr>
              <w:t xml:space="preserve">Расчет итоговой оценки предпочтительности </w:t>
            </w:r>
            <w:r>
              <w:rPr>
                <w:sz w:val="18"/>
                <w:szCs w:val="18"/>
              </w:rPr>
            </w:r>
            <m:oMath>
              <m:r>
                <w:rPr>
                  <w:rFonts w:ascii="Cambria Math" w:hAnsi="Cambria Math"/>
                </w:rPr>
                <m:rPr/>
                <m:t>i</m:t>
              </m:r>
            </m:oMath>
            <w:r>
              <w:rPr>
                <w:rFonts w:eastAsia="Calibri" w:cs="Arial"/>
                <w:sz w:val="18"/>
                <w:szCs w:val="18"/>
                <w:lang w:val="ru-RU" w:eastAsia="en-US" w:bidi="ar-SA"/>
              </w:rPr>
              <w:t xml:space="preserve">-ой заявки:</w:t>
            </w:r>
            <w:r>
              <w:rPr>
                <w:sz w:val="18"/>
                <w:szCs w:val="18"/>
              </w:rPr>
            </w:r>
            <w:r>
              <w:rPr>
                <w:sz w:val="18"/>
                <w:szCs w:val="18"/>
              </w:rPr>
            </w:r>
          </w:p>
          <w:p>
            <w:pPr>
              <w:pStyle w:val="1342"/>
              <w:jc w:val="center"/>
              <w:spacing w:before="40" w:after="40" w:line="240" w:lineRule="auto"/>
              <w:widowControl w:val="off"/>
              <w:rPr>
                <w:sz w:val="18"/>
                <w:szCs w:val="18"/>
              </w:rPr>
            </w:pPr>
            <w:r>
              <w:rPr>
                <w:sz w:val="18"/>
                <w:szCs w:val="18"/>
              </w:rPr>
            </w:r>
            <m:oMathPara>
              <m:oMathParaPr>
                <m:jc m:val="left"/>
              </m:oMathParaPr>
              <m:oMath>
                <m:sSub>
                  <m:sSubPr>
                    <m:ctrlPr/>
                  </m:sSubPr>
                  <m:e>
                    <m:r>
                      <w:rPr>
                        <w:rFonts w:ascii="Cambria Math" w:hAnsi="Cambria Math"/>
                      </w:rPr>
                      <m:rPr/>
                      <m:t>Б</m:t>
                    </m:r>
                  </m:e>
                  <m:sub>
                    <m:r>
                      <w:rPr>
                        <w:rFonts w:ascii="Cambria Math" w:hAnsi="Cambria Math"/>
                      </w:rPr>
                      <m:rPr/>
                      <m:t>ИТОГ</m:t>
                    </m:r>
                  </m:sub>
                </m:sSub>
                <m:r>
                  <w:rPr>
                    <w:rFonts w:ascii="Cambria Math" w:hAnsi="Cambria Math"/>
                  </w:rPr>
                  <m:rPr/>
                  <m:t>=</m:t>
                </m:r>
                <m:nary>
                  <m:naryPr>
                    <m:chr m:val="∑"/>
                    <m:grow m:val="off"/>
                    <m:subHide m:val="on"/>
                    <m:supHide m:val="on"/>
                    <m:ctrlPr/>
                  </m:naryPr>
                  <m:sub/>
                  <m:sup/>
                  <m:e>
                    <m:d>
                      <m:dPr>
                        <m:begChr m:val="("/>
                        <m:endChr m:val=")"/>
                        <m:ctrlPr/>
                      </m:dPr>
                      <m:e>
                        <m:sSub>
                          <m:sSubPr>
                            <m:ctrlPr/>
                          </m:sSubPr>
                          <m:e>
                            <m:r>
                              <w:rPr>
                                <w:rFonts w:ascii="Cambria Math" w:hAnsi="Cambria Math"/>
                              </w:rPr>
                              <m:rPr/>
                              <m:t>Б</m:t>
                            </m:r>
                          </m:e>
                          <m:sub>
                            <m:r>
                              <w:rPr>
                                <w:rFonts w:ascii="Cambria Math" w:hAnsi="Cambria Math"/>
                              </w:rPr>
                              <m:rPr/>
                              <m:t>1</m:t>
                            </m:r>
                            <m:r>
                              <w:rPr>
                                <w:rFonts w:ascii="Cambria Math" w:hAnsi="Cambria Math"/>
                              </w:rPr>
                              <m:rPr/>
                              <m:t>уровень</m:t>
                            </m:r>
                            <m:r>
                              <w:rPr>
                                <w:rFonts w:ascii="Cambria Math" w:hAnsi="Cambria Math"/>
                              </w:rPr>
                              <m:rPr/>
                              <m:t>k</m:t>
                            </m:r>
                          </m:sub>
                        </m:sSub>
                        <m:r>
                          <w:rPr>
                            <w:rFonts w:ascii="Cambria Math" w:hAnsi="Cambria Math"/>
                          </w:rPr>
                          <m:rPr/>
                          <m:t>×</m:t>
                        </m:r>
                        <m:sSub>
                          <m:sSubPr>
                            <m:ctrlPr/>
                          </m:sSubPr>
                          <m:e>
                            <m:r>
                              <w:rPr>
                                <w:rFonts w:ascii="Cambria Math" w:hAnsi="Cambria Math"/>
                              </w:rPr>
                              <m:rPr/>
                              <m:t>В</m:t>
                            </m:r>
                          </m:e>
                          <m:sub>
                            <m:r>
                              <w:rPr>
                                <w:rFonts w:ascii="Cambria Math" w:hAnsi="Cambria Math"/>
                              </w:rPr>
                              <m:rPr/>
                              <m:t>1</m:t>
                            </m:r>
                            <m:r>
                              <w:rPr>
                                <w:rFonts w:ascii="Cambria Math" w:hAnsi="Cambria Math"/>
                              </w:rPr>
                              <m:rPr/>
                              <m:t>уровень</m:t>
                            </m:r>
                            <m:r>
                              <w:rPr>
                                <w:rFonts w:ascii="Cambria Math" w:hAnsi="Cambria Math"/>
                              </w:rPr>
                              <m:rPr/>
                              <m:t>k</m:t>
                            </m:r>
                          </m:sub>
                        </m:sSub>
                      </m:e>
                    </m:d>
                  </m:e>
                </m:nary>
                <m:r>
                  <w:rPr>
                    <w:rFonts w:ascii="Cambria Math" w:hAnsi="Cambria Math"/>
                  </w:rPr>
                  <m:rPr/>
                  <m:t>,</m:t>
                </m:r>
              </m:oMath>
            </m:oMathPara>
            <w:r>
              <w:rPr>
                <w:sz w:val="18"/>
                <w:szCs w:val="18"/>
              </w:rPr>
            </w:r>
            <w:r>
              <w:rPr>
                <w:sz w:val="18"/>
                <w:szCs w:val="18"/>
              </w:rPr>
            </w:r>
          </w:p>
          <w:p>
            <w:pPr>
              <w:pStyle w:val="1342"/>
              <w:jc w:val="left"/>
              <w:spacing w:before="40" w:after="40" w:line="240" w:lineRule="auto"/>
              <w:widowControl w:val="off"/>
              <w:rPr>
                <w:sz w:val="18"/>
                <w:szCs w:val="18"/>
              </w:rPr>
            </w:pPr>
            <w:r>
              <w:rPr>
                <w:rFonts w:eastAsia="Calibri" w:cs="Arial"/>
                <w:sz w:val="18"/>
                <w:szCs w:val="18"/>
                <w:lang w:val="ru-RU" w:eastAsia="en-US" w:bidi="ar-SA"/>
              </w:rPr>
              <w:t xml:space="preserve">где:</w:t>
            </w:r>
            <w:r>
              <w:rPr>
                <w:sz w:val="18"/>
                <w:szCs w:val="18"/>
              </w:rPr>
            </w:r>
            <w:r>
              <w:rPr>
                <w:sz w:val="18"/>
                <w:szCs w:val="18"/>
              </w:rPr>
            </w:r>
          </w:p>
          <w:p>
            <w:pPr>
              <w:pStyle w:val="1342"/>
              <w:jc w:val="left"/>
              <w:spacing w:before="40" w:after="40" w:line="240" w:lineRule="auto"/>
              <w:widowControl w:val="off"/>
              <w:rPr>
                <w:sz w:val="18"/>
                <w:szCs w:val="18"/>
              </w:rPr>
            </w:pPr>
            <w:r>
              <w:rPr>
                <w:sz w:val="18"/>
                <w:szCs w:val="18"/>
              </w:rPr>
            </w:r>
            <m:oMath>
              <m:sSub>
                <m:sSubPr>
                  <m:ctrlPr/>
                </m:sSubPr>
                <m:e>
                  <m:r>
                    <w:rPr>
                      <w:rFonts w:ascii="Cambria Math" w:hAnsi="Cambria Math"/>
                    </w:rPr>
                    <m:rPr/>
                    <m:t>Б</m:t>
                  </m:r>
                </m:e>
                <m:sub>
                  <m:r>
                    <w:rPr>
                      <w:rFonts w:ascii="Cambria Math" w:hAnsi="Cambria Math"/>
                    </w:rPr>
                    <m:rPr/>
                    <m:t>ИТОГ</m:t>
                  </m:r>
                </m:sub>
              </m:sSub>
            </m:oMath>
            <w:r>
              <w:rPr>
                <w:rFonts w:eastAsia="Calibri" w:cs="Arial"/>
                <w:sz w:val="18"/>
                <w:szCs w:val="18"/>
                <w:lang w:val="ru-RU" w:eastAsia="en-US" w:bidi="ar-SA"/>
              </w:rPr>
              <w:t xml:space="preserve"> – </w:t>
            </w:r>
            <w:r>
              <w:rPr>
                <w:rFonts w:eastAsia="Calibri" w:cs="Arial"/>
                <w:sz w:val="18"/>
                <w:szCs w:val="18"/>
                <w:lang w:val="ru-RU" w:eastAsia="en-US" w:bidi="ar-SA"/>
              </w:rPr>
              <w:t xml:space="preserve">рассчитанная итоговая оценка предпочтительности в баллах;</w:t>
            </w:r>
            <w:r>
              <w:rPr>
                <w:sz w:val="18"/>
                <w:szCs w:val="18"/>
              </w:rPr>
            </w:r>
            <w:r>
              <w:rPr>
                <w:sz w:val="18"/>
                <w:szCs w:val="18"/>
              </w:rPr>
            </w:r>
          </w:p>
          <w:p>
            <w:pPr>
              <w:pStyle w:val="1342"/>
              <w:jc w:val="left"/>
              <w:spacing w:before="40" w:after="40" w:line="240" w:lineRule="auto"/>
              <w:widowControl w:val="off"/>
              <w:rPr>
                <w:sz w:val="18"/>
                <w:szCs w:val="18"/>
              </w:rPr>
            </w:pPr>
            <w:r>
              <w:rPr>
                <w:sz w:val="18"/>
                <w:szCs w:val="18"/>
              </w:rPr>
            </w:r>
            <m:oMath>
              <m:sSub>
                <m:sSubPr>
                  <m:ctrlPr/>
                </m:sSubPr>
                <m:e>
                  <m:r>
                    <w:rPr>
                      <w:rFonts w:ascii="Cambria Math" w:hAnsi="Cambria Math"/>
                    </w:rPr>
                    <m:rPr/>
                    <m:t>Б</m:t>
                  </m:r>
                </m:e>
                <m:sub>
                  <m:r>
                    <w:rPr>
                      <w:rFonts w:ascii="Cambria Math" w:hAnsi="Cambria Math"/>
                    </w:rPr>
                    <m:rPr/>
                    <m:t>1</m:t>
                  </m:r>
                  <m:r>
                    <w:rPr>
                      <w:rFonts w:ascii="Cambria Math" w:hAnsi="Cambria Math"/>
                    </w:rPr>
                    <m:rPr/>
                    <m:t>уровень</m:t>
                  </m:r>
                  <m:r>
                    <w:rPr>
                      <w:rFonts w:ascii="Cambria Math" w:hAnsi="Cambria Math"/>
                    </w:rPr>
                    <m:rPr/>
                    <m:t>k</m:t>
                  </m:r>
                </m:sub>
              </m:sSub>
            </m:oMath>
            <w:r>
              <w:rPr>
                <w:rFonts w:eastAsia="Calibri" w:cs="Arial"/>
                <w:sz w:val="18"/>
                <w:szCs w:val="18"/>
                <w:lang w:val="ru-RU" w:eastAsia="en-US" w:bidi="ar-SA"/>
              </w:rPr>
              <w:t xml:space="preserve"> – </w:t>
            </w:r>
            <w:r>
              <w:rPr>
                <w:rFonts w:eastAsia="Calibri" w:cs="Arial"/>
                <w:sz w:val="18"/>
                <w:szCs w:val="18"/>
                <w:lang w:val="ru-RU" w:eastAsia="en-US" w:bidi="ar-SA"/>
              </w:rPr>
              <w:t xml:space="preserve">оценка предпочтительности по </w:t>
            </w:r>
            <w:r>
              <w:rPr>
                <w:sz w:val="18"/>
                <w:szCs w:val="18"/>
              </w:rPr>
            </w:r>
            <m:oMath>
              <m:r>
                <w:rPr>
                  <w:rFonts w:ascii="Cambria Math" w:hAnsi="Cambria Math"/>
                </w:rPr>
                <m:rPr/>
                <m:t>k</m:t>
              </m:r>
            </m:oMath>
            <w:r>
              <w:rPr>
                <w:rFonts w:eastAsia="Calibri" w:cs="Arial"/>
                <w:sz w:val="18"/>
                <w:szCs w:val="18"/>
                <w:lang w:val="ru-RU" w:eastAsia="en-US" w:bidi="ar-SA"/>
              </w:rPr>
              <w:t xml:space="preserve">-тому критерию оценки первого уровня в баллах;</w:t>
            </w:r>
            <w:r>
              <w:rPr>
                <w:sz w:val="18"/>
                <w:szCs w:val="18"/>
              </w:rPr>
            </w:r>
            <w:r>
              <w:rPr>
                <w:sz w:val="18"/>
                <w:szCs w:val="18"/>
              </w:rPr>
            </w:r>
          </w:p>
          <w:p>
            <w:pPr>
              <w:pStyle w:val="1342"/>
              <w:jc w:val="left"/>
              <w:spacing w:before="40" w:after="40" w:line="240" w:lineRule="auto"/>
              <w:widowControl w:val="off"/>
              <w:rPr>
                <w:sz w:val="18"/>
                <w:szCs w:val="18"/>
              </w:rPr>
            </w:pPr>
            <w:r>
              <w:rPr>
                <w:sz w:val="18"/>
                <w:szCs w:val="18"/>
              </w:rPr>
            </w:r>
            <m:oMath>
              <m:sSub>
                <m:sSubPr>
                  <m:ctrlPr/>
                </m:sSubPr>
                <m:e>
                  <m:r>
                    <w:rPr>
                      <w:rFonts w:ascii="Cambria Math" w:hAnsi="Cambria Math"/>
                    </w:rPr>
                    <m:rPr/>
                    <m:t>В</m:t>
                  </m:r>
                </m:e>
                <m:sub>
                  <m:r>
                    <w:rPr>
                      <w:rFonts w:ascii="Cambria Math" w:hAnsi="Cambria Math"/>
                    </w:rPr>
                    <m:rPr/>
                    <m:t>1</m:t>
                  </m:r>
                  <m:r>
                    <w:rPr>
                      <w:rFonts w:ascii="Cambria Math" w:hAnsi="Cambria Math"/>
                    </w:rPr>
                    <m:rPr/>
                    <m:t>уровень</m:t>
                  </m:r>
                  <m:r>
                    <w:rPr>
                      <w:rFonts w:ascii="Cambria Math" w:hAnsi="Cambria Math"/>
                    </w:rPr>
                    <m:rPr/>
                    <m:t>k</m:t>
                  </m:r>
                </m:sub>
              </m:sSub>
            </m:oMath>
            <w:r>
              <w:rPr>
                <w:rFonts w:eastAsia="Calibri" w:cs="Arial"/>
                <w:sz w:val="18"/>
                <w:szCs w:val="18"/>
                <w:lang w:val="ru-RU" w:eastAsia="en-US" w:bidi="ar-SA"/>
              </w:rPr>
              <w:t xml:space="preserve"> – </w:t>
            </w:r>
            <w:r>
              <w:rPr>
                <w:rFonts w:eastAsia="Calibri" w:cs="Arial"/>
                <w:sz w:val="18"/>
                <w:szCs w:val="18"/>
                <w:lang w:val="ru-RU" w:eastAsia="en-US" w:bidi="ar-SA"/>
              </w:rPr>
              <w:t xml:space="preserve">значимость </w:t>
            </w:r>
            <w:r>
              <w:rPr>
                <w:sz w:val="18"/>
                <w:szCs w:val="18"/>
              </w:rPr>
            </w:r>
            <m:oMath>
              <m:r>
                <w:rPr>
                  <w:rFonts w:ascii="Cambria Math" w:hAnsi="Cambria Math"/>
                </w:rPr>
                <m:rPr/>
                <m:t>k</m:t>
              </m:r>
            </m:oMath>
            <w:r>
              <w:rPr>
                <w:rFonts w:eastAsia="Calibri" w:cs="Arial"/>
                <w:sz w:val="18"/>
                <w:szCs w:val="18"/>
                <w:lang w:val="ru-RU" w:eastAsia="en-US" w:bidi="ar-SA"/>
              </w:rPr>
              <w:t xml:space="preserve">-ого критерия оценки первого уровня, выраженная в диапазоне от 1% до 100% (или от 0,01 до 1,00) – вес </w:t>
            </w:r>
            <w:r>
              <w:rPr>
                <w:sz w:val="18"/>
                <w:szCs w:val="18"/>
              </w:rPr>
            </w:r>
            <m:oMath>
              <m:r>
                <w:rPr>
                  <w:rFonts w:ascii="Cambria Math" w:hAnsi="Cambria Math"/>
                </w:rPr>
                <m:rPr/>
                <m:t>k</m:t>
              </m:r>
            </m:oMath>
            <w:r>
              <w:rPr>
                <w:rFonts w:eastAsia="Calibri" w:cs="Arial"/>
                <w:sz w:val="18"/>
                <w:szCs w:val="18"/>
                <w:lang w:val="ru-RU" w:eastAsia="en-US" w:bidi="ar-SA"/>
              </w:rPr>
              <w:t xml:space="preserve">-ого критерия оценки первого уровня.</w:t>
            </w:r>
            <w:r>
              <w:rPr>
                <w:sz w:val="18"/>
                <w:szCs w:val="18"/>
              </w:rPr>
            </w:r>
            <w:r>
              <w:rPr>
                <w:sz w:val="18"/>
                <w:szCs w:val="18"/>
              </w:rPr>
            </w:r>
          </w:p>
          <w:p>
            <w:pPr>
              <w:pStyle w:val="1342"/>
              <w:jc w:val="left"/>
              <w:spacing w:before="40" w:after="40" w:line="240" w:lineRule="auto"/>
              <w:widowControl w:val="off"/>
              <w:rPr>
                <w:sz w:val="18"/>
                <w:szCs w:val="18"/>
              </w:rPr>
            </w:pPr>
            <w:r>
              <w:rPr>
                <w:rFonts w:eastAsia="Calibri" w:cs="Arial"/>
                <w:i/>
                <w:iCs/>
                <w:sz w:val="18"/>
                <w:szCs w:val="18"/>
                <w:lang w:val="ru-RU" w:eastAsia="en-US" w:bidi="ar-SA"/>
              </w:rPr>
              <w:t xml:space="preserve">Расчет значений баллов по частным / обобщенным критериям оценки, а также итогового балла (итоговой оценки предпочтительности) производится до четвертого знака после запятой (в соответствии с математическими правилами округления).</w:t>
            </w:r>
            <w:r>
              <w:rPr>
                <w:sz w:val="18"/>
                <w:szCs w:val="18"/>
              </w:rPr>
            </w:r>
            <w:r>
              <w:rPr>
                <w:sz w:val="18"/>
                <w:szCs w:val="18"/>
              </w:rPr>
            </w:r>
          </w:p>
        </w:tc>
      </w:tr>
    </w:tbl>
    <w:p>
      <w:pPr>
        <w:pStyle w:val="1336"/>
        <w:numPr>
          <w:ilvl w:val="0"/>
          <w:numId w:val="0"/>
        </w:numPr>
        <w:ind w:left="0" w:firstLine="0"/>
      </w:pPr>
      <w:r/>
      <w:r/>
    </w:p>
    <w:p>
      <w:pPr>
        <w:pStyle w:val="1338"/>
        <w:spacing w:before="120" w:after="0"/>
      </w:pPr>
      <w:r>
        <w:t xml:space="preserve">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 значимости критерия), производимого в рамках критер</w:t>
      </w:r>
      <w:r>
        <w:t xml:space="preserve">иев одного уровня. Общая значимость всех критериев одного уровня на одной ветке иерархии составляет 100%. Вычисление оценки предпочтительности по каждому критерию и итоговой оценки предпочтительности заявки производится с точностью до десятитысячных балла.</w:t>
      </w:r>
      <w:r/>
    </w:p>
    <w:p>
      <w:pPr>
        <w:pStyle w:val="1338"/>
        <w:spacing w:before="0" w:after="0"/>
      </w:pPr>
      <w:r>
        <w:t xml:space="preserve">В установленных случаях оценка и сопоставление заявок производится с учетом предоставления национального режима в соответствии с порядком, предусмотренном подразделом </w:t>
      </w:r>
      <w:r>
        <w:fldChar w:fldCharType="begin"/>
      </w:r>
      <w:r>
        <w:instrText xml:space="preserve"> REF _Ref130985951 \r \h </w:instrText>
      </w:r>
      <w:r>
        <w:fldChar w:fldCharType="separate"/>
      </w:r>
      <w:r>
        <w:t xml:space="preserve">4.13</w:t>
      </w:r>
      <w:r>
        <w:fldChar w:fldCharType="end"/>
      </w:r>
      <w:r>
        <w:t xml:space="preserve">.</w:t>
      </w:r>
      <w:r/>
    </w:p>
    <w:p>
      <w:pPr>
        <w:pStyle w:val="1338"/>
        <w:spacing w:before="0" w:after="0"/>
        <w:sectPr>
          <w:headerReference w:type="default" r:id="rId20"/>
          <w:headerReference w:type="first" r:id="rId21"/>
          <w:footerReference w:type="default" r:id="rId35"/>
          <w:footerReference w:type="first" r:id="rId36"/>
          <w:footnotePr>
            <w:numFmt w:val="decimal"/>
          </w:footnotePr>
          <w:endnotePr/>
          <w:type w:val="nextPage"/>
          <w:pgSz w:w="16838" w:h="11906" w:orient="landscape"/>
          <w:pgMar w:top="1134" w:right="851" w:bottom="850" w:left="851" w:header="567" w:footer="567" w:gutter="0"/>
          <w:cols w:num="1" w:sep="0" w:space="1701" w:equalWidth="1"/>
          <w:docGrid w:linePitch="360"/>
        </w:sectPr>
      </w:pPr>
      <w:r>
        <w:t xml:space="preserve">Заявки участников (из числа успешно прошедших отборочную стадию) ранжируются по количеству набранных баллов (от наибольшего к наименьшему), присвоенных заявкам по результатам оценки.</w:t>
      </w:r>
      <w:r/>
    </w:p>
    <w:p>
      <w:pPr>
        <w:pStyle w:val="1336"/>
        <w:spacing w:before="0" w:after="0"/>
      </w:pPr>
      <w:r/>
      <w:bookmarkStart w:id="425" w:name="_Toc230928891"/>
      <w:r/>
      <w:bookmarkStart w:id="426" w:name="Прил09_ОбоснованиеНМЦ"/>
      <w:r/>
      <w:bookmarkStart w:id="427" w:name="_Ref125360420"/>
      <w:r/>
      <w:bookmarkStart w:id="428" w:name="_Toc136261769"/>
      <w:r/>
      <w:bookmarkStart w:id="429" w:name="_Toc136261692"/>
      <w:r/>
      <w:bookmarkStart w:id="430" w:name="_Toc136249263"/>
      <w:r/>
      <w:bookmarkStart w:id="431" w:name="_Toc136261768"/>
      <w:r/>
      <w:bookmarkStart w:id="432" w:name="_Toc136261691"/>
      <w:r/>
      <w:bookmarkStart w:id="433" w:name="_Toc136249262"/>
      <w:r/>
      <w:bookmarkStart w:id="434" w:name="_Toc136261767"/>
      <w:r/>
      <w:bookmarkStart w:id="435" w:name="_Toc136261690"/>
      <w:r/>
      <w:bookmarkStart w:id="436" w:name="_Toc136249261"/>
      <w:r/>
      <w:bookmarkStart w:id="437" w:name="_Toc136261766"/>
      <w:r/>
      <w:bookmarkStart w:id="438" w:name="_Toc136261689"/>
      <w:r/>
      <w:bookmarkStart w:id="439" w:name="_Toc136249260"/>
      <w:r/>
      <w:bookmarkEnd w:id="428"/>
      <w:r/>
      <w:bookmarkEnd w:id="429"/>
      <w:r/>
      <w:bookmarkEnd w:id="430"/>
      <w:r/>
      <w:bookmarkEnd w:id="431"/>
      <w:r/>
      <w:bookmarkEnd w:id="432"/>
      <w:r/>
      <w:bookmarkEnd w:id="433"/>
      <w:r/>
      <w:bookmarkEnd w:id="434"/>
      <w:r/>
      <w:bookmarkEnd w:id="435"/>
      <w:r/>
      <w:bookmarkEnd w:id="436"/>
      <w:r/>
      <w:bookmarkEnd w:id="437"/>
      <w:r/>
      <w:bookmarkEnd w:id="438"/>
      <w:r/>
      <w:bookmarkEnd w:id="439"/>
      <w:r>
        <w:t xml:space="preserve">Приложение № 9 – Обоснование НМЦ</w:t>
      </w:r>
      <w:bookmarkEnd w:id="425"/>
      <w:r/>
      <w:bookmarkEnd w:id="426"/>
      <w:r/>
      <w:bookmarkEnd w:id="427"/>
      <w:r/>
      <w:r/>
    </w:p>
    <w:p>
      <w:pPr>
        <w:pStyle w:val="1337"/>
        <w:spacing w:before="360" w:after="0"/>
      </w:pPr>
      <w:r/>
      <w:bookmarkStart w:id="440" w:name="_Toc230928892"/>
      <w:r>
        <w:t xml:space="preserve">Пояснения к Обоснованию НМЦ</w:t>
      </w:r>
      <w:bookmarkEnd w:id="440"/>
      <w:r/>
      <w:r/>
    </w:p>
    <w:p>
      <w:pPr>
        <w:pStyle w:val="1338"/>
        <w:spacing w:before="120" w:after="0"/>
      </w:pPr>
      <w:r>
        <w:t xml:space="preserve">Обоснование НМЦ приведено в отдельном файле (предоставляется отдельным документом в составе Документации о закупке), являющимся Приложением № 9 к Документации о закупке.</w:t>
      </w:r>
      <w:r/>
    </w:p>
    <w:p>
      <w:pPr>
        <w:pStyle w:val="1336"/>
        <w:spacing w:before="0" w:after="0"/>
      </w:pPr>
      <w:r/>
      <w:bookmarkStart w:id="441" w:name="_Toc230928893"/>
      <w:r/>
      <w:bookmarkStart w:id="442" w:name="Прил10_ЗаявкаНаАккредитацию"/>
      <w:r/>
      <w:bookmarkEnd w:id="442"/>
      <w:r>
        <w:t xml:space="preserve">Приложение № 10 – Форма Заявки на аккредитацию</w:t>
      </w:r>
      <w:bookmarkEnd w:id="441"/>
      <w:r/>
      <w:r/>
    </w:p>
    <w:p>
      <w:pPr>
        <w:pStyle w:val="1337"/>
        <w:spacing w:before="360" w:after="0"/>
      </w:pPr>
      <w:r/>
      <w:bookmarkStart w:id="443" w:name="_Toc230928894"/>
      <w:r>
        <w:t xml:space="preserve">Пояснения к форме Заявки на аккредитацию</w:t>
      </w:r>
      <w:bookmarkEnd w:id="443"/>
      <w:r/>
      <w:r/>
    </w:p>
    <w:p>
      <w:pPr>
        <w:pStyle w:val="1338"/>
        <w:spacing w:before="120" w:after="0"/>
      </w:pPr>
      <w:r>
        <w:t xml:space="preserve">Форма Заявки на аккредитацию приведена в отдельном файле (предоставляется отдельным документом в составе Документации о закупке), являющимся Приложением № 10 к Документации о закупке. </w:t>
      </w:r>
      <w:r/>
    </w:p>
    <w:p>
      <w:pPr>
        <w:pStyle w:val="1338"/>
        <w:spacing w:before="0" w:after="0"/>
      </w:pPr>
      <w:r>
        <w:t xml:space="preserve">Заявка на аккредитацию предоставляется (в установленных Документацией о закупке случаях) Участником в составе своей заявки </w:t>
      </w:r>
      <w:bookmarkStart w:id="444" w:name="_Hlk207300788"/>
      <w:r>
        <w:t xml:space="preserve">только в электронном виде в формате </w:t>
      </w:r>
      <w:r>
        <w:rPr>
          <w:lang w:val="en-US"/>
        </w:rPr>
        <w:t xml:space="preserve">Microsoft</w:t>
      </w:r>
      <w:r>
        <w:t xml:space="preserve"> </w:t>
      </w:r>
      <w:r>
        <w:rPr>
          <w:lang w:val="en-US"/>
        </w:rPr>
        <w:t xml:space="preserve">Excel</w:t>
      </w:r>
      <w:r>
        <w:t xml:space="preserve"> (*.</w:t>
      </w:r>
      <w:r>
        <w:rPr>
          <w:lang w:val="en-US"/>
        </w:rPr>
        <w:t xml:space="preserve">xlsx</w:t>
      </w:r>
      <w:r>
        <w:t xml:space="preserve">))</w:t>
      </w:r>
      <w:bookmarkEnd w:id="444"/>
      <w:r>
        <w:t xml:space="preserve">.</w:t>
      </w:r>
      <w:r/>
    </w:p>
    <w:p>
      <w:pPr>
        <w:pStyle w:val="1342"/>
        <w:jc w:val="center"/>
      </w:pPr>
      <w:r/>
      <w:r/>
    </w:p>
    <w:p>
      <w:pPr>
        <w:pStyle w:val="1336"/>
        <w:spacing w:before="0" w:after="0"/>
      </w:pPr>
      <w:r/>
      <w:bookmarkStart w:id="445" w:name="_Toc230928895"/>
      <w:r/>
      <w:bookmarkStart w:id="446" w:name="Прил11_Форма_данных_бухотчетность"/>
      <w:r>
        <w:t xml:space="preserve">Приложение № 11 </w:t>
      </w:r>
      <w:bookmarkEnd w:id="446"/>
      <w:r>
        <w:t xml:space="preserve">– форма Данных бухгалтерской (финансовой) отчетности</w:t>
      </w:r>
      <w:bookmarkEnd w:id="445"/>
      <w:r/>
      <w:r/>
    </w:p>
    <w:p>
      <w:pPr>
        <w:pStyle w:val="1337"/>
        <w:spacing w:before="360" w:after="0"/>
      </w:pPr>
      <w:r/>
      <w:bookmarkStart w:id="447" w:name="_Toc230928896"/>
      <w:r>
        <w:t xml:space="preserve">Пояснения к форме Данных бухгалтерской (финансовой) отчетности</w:t>
      </w:r>
      <w:bookmarkEnd w:id="447"/>
      <w:r>
        <w:t xml:space="preserve"> </w:t>
      </w:r>
      <w:r/>
    </w:p>
    <w:p>
      <w:pPr>
        <w:pStyle w:val="1338"/>
      </w:pPr>
      <w:r>
        <w:t xml:space="preserve">Форма Данных бухгалтерской (финансовой) отчетности приведена в отдельном файле (предоставляется отдельным документом в составе Документации о закупке), являющимся Приложением № 11 к Документации о закупке.</w:t>
      </w:r>
      <w:r/>
    </w:p>
    <w:p>
      <w:pPr>
        <w:pStyle w:val="1271"/>
      </w:pPr>
      <w:r/>
      <w:r/>
    </w:p>
    <w:p>
      <w:pPr>
        <w:pStyle w:val="1271"/>
        <w:jc w:val="center"/>
      </w:pPr>
      <w:r/>
      <w:bookmarkStart w:id="448" w:name="_MON_1821256687"/>
      <w:r/>
      <w:bookmarkEnd w:id="448"/>
      <w:r/>
      <w:r/>
    </w:p>
    <w:p>
      <w:pPr>
        <w:pStyle w:val="1271"/>
        <w:jc w:val="center"/>
      </w:pPr>
      <w:r/>
      <w:r/>
    </w:p>
    <w:p>
      <w:pPr>
        <w:pStyle w:val="1271"/>
        <w:jc w:val="center"/>
      </w:pPr>
      <w:r/>
      <w:r/>
    </w:p>
    <w:p>
      <w:pPr>
        <w:pStyle w:val="1271"/>
        <w:jc w:val="center"/>
      </w:pPr>
      <w:r/>
      <w:r/>
    </w:p>
    <w:sectPr>
      <w:headerReference w:type="default" r:id="rId22"/>
      <w:headerReference w:type="first" r:id="rId23"/>
      <w:footerReference w:type="default" r:id="rId37"/>
      <w:footerReference w:type="first" r:id="rId38"/>
      <w:footnotePr>
        <w:numFmt w:val="decimal"/>
      </w:footnotePr>
      <w:endnotePr/>
      <w:type w:val="nextPage"/>
      <w:pgSz w:w="11906" w:h="16838" w:orient="portrait"/>
      <w:pgMar w:top="851" w:right="850" w:bottom="851" w:left="1134" w:header="567" w:footer="567" w:gutter="0"/>
      <w:cols w:num="1" w:sep="0" w:space="1701"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separator/>
      </w:r>
      <w:r/>
    </w:p>
  </w:endnote>
  <w:endnote w:type="continuationSeparator" w:id="0">
    <w:p>
      <w:pPr>
        <w:spacing w:after="0" w:line="240" w:lineRule="auto"/>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Open Sans">
    <w:panose1 w:val="020B0606030504020204"/>
  </w:font>
  <w:font w:name="Symbol">
    <w:panose1 w:val="05010000000000000000"/>
  </w:font>
  <w:font w:name="Courier New">
    <w:panose1 w:val="02070309020205020404"/>
  </w:font>
  <w:font w:name="Mangal">
    <w:panose1 w:val="02040503050406030204"/>
  </w:font>
  <w:font w:name="Cambria Math">
    <w:panose1 w:val="02040803050406030204"/>
  </w:font>
  <w:font w:name="Wingdings 3">
    <w:panose1 w:val="05040102010807070707"/>
  </w:font>
  <w:font w:name="Liberation Serif">
    <w:panose1 w:val="02020603050405020304"/>
  </w:font>
  <w:font w:name="Noto Sans CJK SC">
    <w:panose1 w:val="020B0502040504020204"/>
  </w:font>
  <w:font w:name="Wingdings">
    <w:panose1 w:val="05010000000000000000"/>
  </w:font>
  <w:font w:name="Liberation Sans">
    <w:panose1 w:val="020B0604020202020204"/>
  </w:font>
  <w:font w:name="Segoe UI">
    <w:panose1 w:val="020B0503020204020204"/>
  </w:font>
  <w:font w:name="Calibri">
    <w:panose1 w:val="020F0502020204030204"/>
  </w:font>
  <w:font w:name="NSimSun">
    <w:panose1 w:val="02000509030000000004"/>
  </w:font>
  <w:font w:name="Arial Unicode MS">
    <w:panose1 w:val="020B0604020202020204"/>
  </w:font>
  <w:font w:name="Arial">
    <w:panose1 w:val="020B0604020202020204"/>
  </w:font>
  <w:font w:name="Times New Roman">
    <w:panose1 w:val="02020603050405020304"/>
  </w:font>
  <w:font w:name="Cambria">
    <w:panose1 w:val="020408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345"/>
      <w:jc w:val="right"/>
      <w:spacing w:before="120" w:after="0"/>
    </w:pPr>
    <w:r>
      <w:fldChar w:fldCharType="begin"/>
    </w:r>
    <w:r>
      <w:instrText xml:space="preserve"> PAGE </w:instrText>
    </w:r>
    <w:r>
      <w:fldChar w:fldCharType="separate"/>
    </w:r>
    <w:r>
      <w:t xml:space="preserve">16</w:t>
    </w:r>
    <w:r>
      <w:fldChar w:fldCharType="end"/>
    </w:r>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345"/>
      <w:jc w:val="right"/>
      <w:spacing w:before="120" w:after="0"/>
    </w:pPr>
    <w:r>
      <w:fldChar w:fldCharType="begin"/>
    </w:r>
    <w:r>
      <w:instrText xml:space="preserve"> PAGE </w:instrText>
    </w:r>
    <w:r>
      <w:fldChar w:fldCharType="separate"/>
    </w:r>
    <w:r>
      <w:t xml:space="preserve">74</w:t>
    </w:r>
    <w:r>
      <w:fldChar w:fldCharType="end"/>
    </w:r>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r/>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345"/>
      <w:jc w:val="right"/>
      <w:spacing w:before="120" w:after="0"/>
    </w:pPr>
    <w:r>
      <w:fldChar w:fldCharType="begin"/>
    </w:r>
    <w:r>
      <w:instrText xml:space="preserve"> PAGE </w:instrText>
    </w:r>
    <w:r>
      <w:fldChar w:fldCharType="separate"/>
    </w:r>
    <w:r>
      <w:t xml:space="preserve">81</w:t>
    </w:r>
    <w:r>
      <w:fldChar w:fldCharType="end"/>
    </w:r>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r/>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345"/>
      <w:jc w:val="right"/>
      <w:spacing w:before="120" w:after="0"/>
    </w:pPr>
    <w:r>
      <w:fldChar w:fldCharType="begin"/>
    </w:r>
    <w:r>
      <w:instrText xml:space="preserve"> PAGE </w:instrText>
    </w:r>
    <w:r>
      <w:fldChar w:fldCharType="separate"/>
    </w:r>
    <w:r>
      <w:t xml:space="preserve">84</w:t>
    </w:r>
    <w:r>
      <w:fldChar w:fldCharType="end"/>
    </w:r>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345"/>
      <w:jc w:val="right"/>
      <w:spacing w:before="120" w:after="0"/>
    </w:pPr>
    <w:r>
      <w:fldChar w:fldCharType="begin"/>
    </w:r>
    <w:r>
      <w:instrText xml:space="preserve"> PAGE </w:instrText>
    </w:r>
    <w:r>
      <w:fldChar w:fldCharType="separate"/>
    </w:r>
    <w:r>
      <w:t xml:space="preserve">25</w:t>
    </w:r>
    <w:r>
      <w:fldChar w:fldCharType="end"/>
    </w:r>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r/>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345"/>
      <w:jc w:val="right"/>
      <w:spacing w:before="120" w:after="0"/>
    </w:pPr>
    <w:r>
      <w:fldChar w:fldCharType="begin"/>
    </w:r>
    <w:r>
      <w:instrText xml:space="preserve"> PAGE </w:instrText>
    </w:r>
    <w:r>
      <w:fldChar w:fldCharType="separate"/>
    </w:r>
    <w:r>
      <w:t xml:space="preserve">26</w:t>
    </w:r>
    <w:r>
      <w:fldChar w:fldCharType="end"/>
    </w:r>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r/>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345"/>
      <w:jc w:val="right"/>
      <w:spacing w:before="120" w:after="0"/>
    </w:pPr>
    <w:r>
      <w:fldChar w:fldCharType="begin"/>
    </w:r>
    <w:r>
      <w:instrText xml:space="preserve"> PAGE </w:instrText>
    </w:r>
    <w:r>
      <w:fldChar w:fldCharType="separate"/>
    </w:r>
    <w:r>
      <w:t xml:space="preserve">61</w:t>
    </w:r>
    <w:r>
      <w:fldChar w:fldCharType="end"/>
    </w:r>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r/>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345"/>
      <w:jc w:val="right"/>
      <w:spacing w:before="120" w:after="0"/>
    </w:pPr>
    <w:r>
      <w:fldChar w:fldCharType="begin"/>
    </w:r>
    <w:r>
      <w:instrText xml:space="preserve"> PAGE </w:instrText>
    </w:r>
    <w:r>
      <w:fldChar w:fldCharType="separate"/>
    </w:r>
    <w:r>
      <w:t xml:space="preserve">64</w:t>
    </w:r>
    <w:r>
      <w:fldChar w:fldCharType="end"/>
    </w:r>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rPr>
          <w:sz w:val="12"/>
        </w:rPr>
      </w:pPr>
      <w:r>
        <w:separator/>
      </w:r>
      <w:r>
        <w:rPr>
          <w:sz w:val="12"/>
        </w:rPr>
      </w:r>
      <w:r>
        <w:rPr>
          <w:sz w:val="12"/>
        </w:rPr>
      </w:r>
    </w:p>
  </w:footnote>
  <w:footnote w:type="continuationSeparator" w:id="0">
    <w:p>
      <w:pPr>
        <w:rPr>
          <w:sz w:val="12"/>
        </w:rPr>
      </w:pPr>
      <w:r>
        <w:continuationSeparator/>
      </w:r>
      <w:r>
        <w:rPr>
          <w:sz w:val="12"/>
        </w:rPr>
      </w:r>
      <w:r>
        <w:rPr>
          <w:sz w:val="12"/>
        </w:rPr>
      </w:r>
    </w:p>
  </w:footnote>
  <w:footnote w:id="2">
    <w:p>
      <w:pPr>
        <w:pStyle w:val="1347"/>
        <w:ind w:left="567" w:hanging="567"/>
        <w:jc w:val="both"/>
        <w:spacing w:before="80" w:after="0"/>
      </w:pPr>
      <w:r>
        <w:rPr>
          <w:rStyle w:val="1306"/>
        </w:rPr>
        <w:footnoteRef/>
      </w:r>
      <w:r>
        <w:tab/>
        <w:t xml:space="preserve">Информационной Системой ЭДО ПАО «РусГидро» является «Диадок», с оператором которой ЗАО «ПФ «СКБ» Контур» заключено Соглашение о переходе на юридически значимый документооборот.</w:t>
      </w:r>
      <w:r/>
    </w:p>
  </w:footnote>
  <w:footnote w:id="3">
    <w:p>
      <w:pPr>
        <w:pStyle w:val="1347"/>
        <w:ind w:left="567" w:hanging="567"/>
        <w:jc w:val="both"/>
        <w:spacing w:before="80" w:after="0"/>
      </w:pPr>
      <w:r>
        <w:rPr>
          <w:rStyle w:val="1306"/>
        </w:rPr>
        <w:footnoteRef/>
      </w:r>
      <w:r>
        <w:tab/>
        <w:t xml:space="preserve">Определенные в соответствии с Законом 422-ФЗ.</w:t>
      </w:r>
      <w:r/>
    </w:p>
  </w:footnote>
  <w:footnote w:id="4">
    <w:p>
      <w:pPr>
        <w:pStyle w:val="1347"/>
        <w:ind w:left="567" w:hanging="567"/>
        <w:jc w:val="both"/>
        <w:spacing w:before="80" w:after="0"/>
      </w:pPr>
      <w:r>
        <w:rPr>
          <w:rStyle w:val="1306"/>
        </w:rPr>
        <w:footnoteRef/>
      </w:r>
      <w:r>
        <w:tab/>
        <w:t xml:space="preserve">По решению Организатора (в соответствии с Положением о закупке) в протоколе могут не отражаться сведения, позволяющие идентифицировать Участников.</w:t>
      </w:r>
      <w:r/>
    </w:p>
  </w:footnote>
  <w:footnote w:id="5">
    <w:p>
      <w:pPr>
        <w:pStyle w:val="1347"/>
        <w:ind w:left="567" w:hanging="567"/>
        <w:jc w:val="both"/>
        <w:spacing w:before="80" w:after="0"/>
      </w:pPr>
      <w:r>
        <w:rPr>
          <w:rStyle w:val="1306"/>
        </w:rPr>
        <w:footnoteRef/>
      </w:r>
      <w:r>
        <w:tab/>
        <w:t xml:space="preserve">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_Ref125362626 \w \h </w:instrText>
      </w:r>
      <w:r>
        <w:fldChar w:fldCharType="separate"/>
      </w:r>
      <w:r>
        <w:t xml:space="preserve">4.12</w:t>
      </w:r>
      <w:r>
        <w:fldChar w:fldCharType="end"/>
      </w:r>
      <w:r>
        <w:t xml:space="preserve">), не допускается.</w:t>
      </w:r>
      <w:r/>
    </w:p>
  </w:footnote>
  <w:footnote w:id="6">
    <w:p>
      <w:pPr>
        <w:pStyle w:val="1347"/>
        <w:ind w:left="567" w:hanging="567"/>
        <w:jc w:val="both"/>
        <w:spacing w:before="80" w:after="0"/>
      </w:pPr>
      <w:r>
        <w:rPr>
          <w:rStyle w:val="1306"/>
        </w:rPr>
        <w:footnoteRef/>
      </w:r>
      <w:r>
        <w:tab/>
        <w:t xml:space="preserve">По решению Организатора (в соответствии с Положением о закупке) в протоколе могут не отражаться сведения, позволяющие идентифицировать Участников.</w:t>
      </w:r>
      <w:r/>
    </w:p>
  </w:footnote>
  <w:footnote w:id="7">
    <w:p>
      <w:pPr>
        <w:pStyle w:val="1347"/>
        <w:ind w:left="567" w:hanging="567"/>
        <w:jc w:val="both"/>
        <w:spacing w:before="80" w:after="0"/>
      </w:pPr>
      <w:r>
        <w:rPr>
          <w:rStyle w:val="1306"/>
        </w:rPr>
        <w:footnoteRef/>
      </w:r>
      <w:r>
        <w:tab/>
        <w:t xml:space="preserve">В отношении предоставляемой Участником (в целях обеспечения проведения оценки его финансового состо</w:t>
      </w:r>
      <w:r>
        <w:t xml:space="preserve">яния (устойчивости) в соответствии с Положением об аккредитации) бухгалтерской (финансовой) отчетности самостоятельные исправления арифметических ошибок не допускается (все изменения в отчетность должны вноситься в установленном законодательством порядке).</w:t>
      </w:r>
      <w:r/>
    </w:p>
  </w:footnote>
  <w:footnote w:id="8">
    <w:p>
      <w:pPr>
        <w:pStyle w:val="1347"/>
        <w:ind w:left="567" w:hanging="567"/>
        <w:jc w:val="both"/>
        <w:spacing w:before="80" w:after="0"/>
      </w:pPr>
      <w:r>
        <w:rPr>
          <w:rStyle w:val="1306"/>
        </w:rPr>
        <w:footnoteRef/>
      </w:r>
      <w:r>
        <w:tab/>
        <w:t xml:space="preserve">Увеличение на 15% (пятнадцать процентов) итоговой стоимости заявки (цены Договора) в случае подачи им предложения о размере платы, подлежащей внесению за заключение Договора.</w:t>
      </w:r>
      <w:r/>
    </w:p>
  </w:footnote>
  <w:footnote w:id="9">
    <w:p>
      <w:pPr>
        <w:pStyle w:val="1347"/>
        <w:ind w:left="567" w:hanging="567"/>
        <w:jc w:val="both"/>
        <w:spacing w:before="80" w:after="0"/>
      </w:pPr>
      <w:r>
        <w:rPr>
          <w:rStyle w:val="1306"/>
        </w:rPr>
        <w:footnoteRef/>
      </w:r>
      <w:r>
        <w:tab/>
        <w:t xml:space="preserve">По решению Организатора (в соответствии с Положением о закупке) в протоколе могут не отражаться сведения, позволяющие идентифицировать Участников и Победителя.</w:t>
      </w:r>
      <w:r/>
    </w:p>
  </w:footnote>
  <w:footnote w:id="10">
    <w:p>
      <w:pPr>
        <w:pStyle w:val="1347"/>
        <w:ind w:left="567" w:hanging="567"/>
        <w:jc w:val="both"/>
        <w:spacing w:before="80" w:after="0"/>
      </w:pPr>
      <w:r>
        <w:rPr>
          <w:rStyle w:val="1306"/>
        </w:rPr>
        <w:footnoteRef/>
      </w:r>
      <w:r>
        <w:tab/>
        <w:t xml:space="preserve">https://minfin.gov.ru/ru/perfomance/tax_relations/policy/bankwarranty/</w:t>
      </w:r>
      <w:r/>
    </w:p>
  </w:footnote>
  <w:footnote w:id="11">
    <w:p>
      <w:pPr>
        <w:pStyle w:val="1271"/>
        <w:jc w:val="both"/>
        <w:spacing w:before="120" w:after="0"/>
        <w:rPr>
          <w:sz w:val="20"/>
          <w:szCs w:val="20"/>
        </w:rPr>
      </w:pPr>
      <w:r>
        <w:rPr>
          <w:rStyle w:val="1306"/>
        </w:rPr>
        <w:footnoteRef/>
      </w:r>
      <w:r>
        <w:t xml:space="preserve"> </w:t>
      </w:r>
      <w:r>
        <w:rPr>
          <w:sz w:val="22"/>
        </w:rPr>
        <w:t xml:space="preserve">Для Исполнительного аппарата и филиалов ПАО «РусГидро» — Арбитражный суд г. Москвы – в случаях, установленных Распоряжением ПАО «РусГидро» от 08.10.2025 № 548р «Об условиях договорной подсудности» или иными ЛНД(А), заменяющими его.</w:t>
      </w:r>
      <w:r>
        <w:rPr>
          <w:sz w:val="20"/>
          <w:szCs w:val="20"/>
        </w:rPr>
      </w:r>
      <w:r>
        <w:rPr>
          <w:sz w:val="20"/>
          <w:szCs w:val="20"/>
        </w:rPr>
      </w:r>
    </w:p>
  </w:footnote>
  <w:footnote w:id="12">
    <w:p>
      <w:pPr>
        <w:pStyle w:val="1347"/>
        <w:ind w:left="567" w:hanging="567"/>
        <w:jc w:val="both"/>
        <w:spacing w:before="80" w:after="0"/>
      </w:pPr>
      <w:r>
        <w:rPr>
          <w:rStyle w:val="1306"/>
        </w:rPr>
        <w:footnoteRef/>
      </w:r>
      <w:r>
        <w:tab/>
        <w:t xml:space="preserve">Коллективный участник предоставляет указанные документы на каждого члена.</w:t>
      </w:r>
      <w:r/>
    </w:p>
  </w:footnote>
  <w:footnote w:id="13">
    <w:p>
      <w:pPr>
        <w:pStyle w:val="1347"/>
        <w:ind w:left="567" w:hanging="567"/>
        <w:jc w:val="both"/>
        <w:spacing w:before="80" w:after="0"/>
      </w:pPr>
      <w:r>
        <w:rPr>
          <w:rStyle w:val="1306"/>
        </w:rPr>
        <w:footnoteRef/>
      </w:r>
      <w:r>
        <w:tab/>
        <w:t xml:space="preserve">По решению Организатора (в соответствии с Положением о закупке) в протоколе могут не отражаться сведения, позволяющие идентифицировать Победителя.</w:t>
      </w:r>
      <w:r/>
    </w:p>
  </w:footnote>
  <w:footnote w:id="14">
    <w:p>
      <w:pPr>
        <w:pStyle w:val="1347"/>
        <w:ind w:left="567" w:hanging="567"/>
        <w:jc w:val="both"/>
        <w:spacing w:before="80" w:after="0"/>
      </w:pPr>
      <w:r>
        <w:rPr>
          <w:rStyle w:val="1306"/>
        </w:rPr>
        <w:footnoteRef/>
      </w:r>
      <w:bookmarkStart w:id="449" w:name="_Hlk139028796_Копия_1_Копия_1_Копия_1_Ко"/>
      <w:r>
        <w:tab/>
        <w:t xml:space="preserve">Во исполнение Указа Президента Российской Федерации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bookmarkEnd w:id="449"/>
      <w:r/>
      <w:r/>
    </w:p>
  </w:footnote>
  <w:footnote w:id="15">
    <w:p>
      <w:pPr>
        <w:pStyle w:val="1347"/>
        <w:ind w:left="567" w:hanging="567"/>
        <w:jc w:val="both"/>
        <w:spacing w:before="80" w:after="0"/>
      </w:pPr>
      <w:r>
        <w:rPr>
          <w:rStyle w:val="1306"/>
        </w:rPr>
        <w:footnoteRef/>
      </w:r>
      <w:bookmarkStart w:id="450" w:name="_Hlk139028803_Копия_1_Копия_1_Копия_1_Ко"/>
      <w:r/>
      <w:bookmarkStart w:id="451" w:name="_Hlk139028804_Копия_1_Копия_1_Копия_1_Ко"/>
      <w:r>
        <w:tab/>
        <w:t xml:space="preserve">Перед заключением договора Заказ</w:t>
      </w:r>
      <w:r>
        <w:t xml:space="preserve">чик дополнительно проводит проверку Победителя (данная норма применима также в отношении Единственного участника несостоявшейся закупки, с которым принято решение о заключении договора) на основании документов, предоставляемых в соответствии с подразделом </w:t>
      </w:r>
      <w:r>
        <w:fldChar w:fldCharType="begin"/>
      </w:r>
      <w:r>
        <w:instrText xml:space="preserve"> REF _Ref138232981 \r \h </w:instrText>
      </w:r>
      <w:r>
        <w:fldChar w:fldCharType="separate"/>
      </w:r>
      <w:r>
        <w:t xml:space="preserve">5.2</w:t>
      </w:r>
      <w:r>
        <w:fldChar w:fldCharType="end"/>
      </w:r>
      <w:r>
        <w:t xml:space="preserve">. Если по результатам такой проверки Участник не</w:t>
      </w:r>
      <w:r>
        <w:t xml:space="preserve"> отвечает установленным требованиям, то он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w:t>
      </w:r>
      <w:bookmarkEnd w:id="450"/>
      <w:r/>
      <w:bookmarkEnd w:id="451"/>
      <w:r/>
      <w:r/>
    </w:p>
  </w:footnote>
  <w:footnote w:id="16">
    <w:p>
      <w:pPr>
        <w:pStyle w:val="1346"/>
        <w:widowControl w:val="off"/>
      </w:pPr>
      <w:r>
        <w:rPr>
          <w:rStyle w:val="1306"/>
        </w:rPr>
        <w:footnoteRef/>
      </w:r>
      <w:r>
        <w:t xml:space="preserve"> </w:t>
      </w:r>
      <w:r>
        <w:t xml:space="preserve">Организатор закупки с НМЦ свыше 500 млн. руб. без НДС осуществяет проверку представленных в составе заявки Участника документов н</w:t>
      </w:r>
      <w:r>
        <w:t xml:space="preserve">а предмет отсутствия недостоверных сведений или намеренно искаженной информации, основываясь на официальных данных из открытых источников, размещенных в информативно-телекоммуникационной сети «Интернет» по адресу: egrul.nalog.ru (портал «Федеральные налого</w:t>
      </w:r>
      <w:r>
        <w:t xml:space="preserve">вой службы РФ») (далее – открытые источники). В случае наличия расхождений сведений с открытыми источниками в информации, подтверждающей статус Участника, Организатор закупки присваивает по данному критерию балл на основании данных из открытых источников. </w:t>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344"/>
      <w:jc w:val="center"/>
      <w:spacing w:before="0" w:after="120"/>
    </w:pPr>
    <w:r/>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344"/>
      <w:jc w:val="center"/>
      <w:spacing w:before="0" w:after="120"/>
    </w:pPr>
    <w:r/>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r/>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344"/>
      <w:jc w:val="center"/>
      <w:spacing w:before="0" w:after="120"/>
    </w:pPr>
    <w:r/>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r/>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344"/>
      <w:jc w:val="center"/>
      <w:spacing w:before="0" w:after="120"/>
    </w:pPr>
    <w:r/>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344"/>
      <w:jc w:val="center"/>
      <w:spacing w:before="0" w:after="120"/>
    </w:pPr>
    <w: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344"/>
      <w:jc w:val="center"/>
      <w:spacing w:before="0" w:after="120"/>
    </w:pPr>
    <w:r/>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r/>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344"/>
      <w:jc w:val="center"/>
      <w:spacing w:before="0" w:after="120"/>
    </w:pPr>
    <w:r/>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r/>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344"/>
      <w:jc w:val="center"/>
      <w:spacing w:before="0" w:after="120"/>
    </w:pPr>
    <w:r/>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pStyle w:val="1336"/>
      <w:isLgl w:val="false"/>
      <w:suff w:val="tab"/>
      <w:lvlText w:val="%1."/>
      <w:lvlJc w:val="left"/>
      <w:pPr>
        <w:ind w:left="1134" w:hanging="1134"/>
        <w:tabs>
          <w:tab w:val="num" w:pos="1134" w:leader="none"/>
        </w:tabs>
      </w:pPr>
    </w:lvl>
    <w:lvl w:ilvl="1">
      <w:start w:val="1"/>
      <w:numFmt w:val="decimal"/>
      <w:pStyle w:val="1337"/>
      <w:isLgl w:val="false"/>
      <w:suff w:val="tab"/>
      <w:lvlText w:val="%1.%2"/>
      <w:lvlJc w:val="left"/>
      <w:pPr>
        <w:ind w:left="1134" w:hanging="1134"/>
        <w:tabs>
          <w:tab w:val="num" w:pos="1134" w:leader="none"/>
        </w:tabs>
      </w:pPr>
    </w:lvl>
    <w:lvl w:ilvl="2">
      <w:start w:val="1"/>
      <w:numFmt w:val="decimal"/>
      <w:pStyle w:val="1338"/>
      <w:isLgl w:val="false"/>
      <w:suff w:val="tab"/>
      <w:lvlText w:val="%1.%2.%3"/>
      <w:lvlJc w:val="left"/>
      <w:pPr>
        <w:ind w:left="1134" w:hanging="1134"/>
        <w:tabs>
          <w:tab w:val="num" w:pos="1134" w:leader="none"/>
        </w:tabs>
      </w:pPr>
    </w:lvl>
    <w:lvl w:ilvl="3">
      <w:start w:val="1"/>
      <w:numFmt w:val="russianLower"/>
      <w:pStyle w:val="1339"/>
      <w:isLgl w:val="false"/>
      <w:suff w:val="tab"/>
      <w:lvlText w:val="%4)"/>
      <w:lvlJc w:val="left"/>
      <w:pPr>
        <w:ind w:left="1701" w:hanging="567"/>
        <w:tabs>
          <w:tab w:val="num" w:pos="1701" w:leader="none"/>
        </w:tabs>
      </w:pPr>
    </w:lvl>
    <w:lvl w:ilvl="4">
      <w:start w:val="1"/>
      <w:numFmt w:val="bullet"/>
      <w:pStyle w:val="1340"/>
      <w:isLgl w:val="false"/>
      <w:suff w:val="tab"/>
      <w:lvlText w:val=""/>
      <w:lvlJc w:val="left"/>
      <w:pPr>
        <w:ind w:left="2268" w:hanging="567"/>
        <w:tabs>
          <w:tab w:val="num" w:pos="2268" w:leader="none"/>
        </w:tabs>
      </w:pPr>
      <w:rPr>
        <w:rFonts w:hint="default" w:ascii="Symbol" w:hAnsi="Symbol" w:cs="Symbol"/>
      </w:rPr>
    </w:lvl>
    <w:lvl w:ilvl="5">
      <w:start w:val="1"/>
      <w:numFmt w:val="none"/>
      <w:isLgl w:val="false"/>
      <w:suff w:val="nothing"/>
      <w:lvlText w:val=""/>
      <w:lvlJc w:val="left"/>
      <w:pPr>
        <w:ind w:left="0" w:firstLine="0"/>
        <w:tabs>
          <w:tab w:val="num" w:pos="0" w:leader="none"/>
        </w:tabs>
      </w:pPr>
    </w:lvl>
    <w:lvl w:ilvl="6">
      <w:start w:val="1"/>
      <w:numFmt w:val="none"/>
      <w:isLgl w:val="false"/>
      <w:suff w:val="nothing"/>
      <w:lvlText w:val=""/>
      <w:lvlJc w:val="left"/>
      <w:pPr>
        <w:ind w:left="0" w:firstLine="0"/>
        <w:tabs>
          <w:tab w:val="num" w:pos="0" w:leader="none"/>
        </w:tabs>
      </w:pPr>
    </w:lvl>
    <w:lvl w:ilvl="7">
      <w:start w:val="1"/>
      <w:numFmt w:val="none"/>
      <w:isLgl w:val="false"/>
      <w:suff w:val="nothing"/>
      <w:lvlText w:val=""/>
      <w:lvlJc w:val="left"/>
      <w:pPr>
        <w:ind w:left="0" w:firstLine="0"/>
        <w:tabs>
          <w:tab w:val="num" w:pos="0" w:leader="none"/>
        </w:tabs>
      </w:pPr>
    </w:lvl>
    <w:lvl w:ilvl="8">
      <w:start w:val="1"/>
      <w:numFmt w:val="none"/>
      <w:isLgl w:val="false"/>
      <w:suff w:val="nothing"/>
      <w:lvlText w:val=""/>
      <w:lvlJc w:val="left"/>
      <w:pPr>
        <w:ind w:left="0" w:firstLine="0"/>
        <w:tabs>
          <w:tab w:val="num" w:pos="0" w:leader="none"/>
        </w:tabs>
      </w:pPr>
    </w:lvl>
  </w:abstractNum>
  <w:abstractNum w:abstractNumId="1">
    <w:multiLevelType w:val="hybridMultilevel"/>
    <w:lvl w:ilvl="0">
      <w:start w:val="1"/>
      <w:numFmt w:val="decimal"/>
      <w:isLgl w:val="false"/>
      <w:suff w:val="tab"/>
      <w:lvlText w:val="%1."/>
      <w:lvlJc w:val="left"/>
      <w:pPr>
        <w:ind w:left="720" w:hanging="360"/>
        <w:tabs>
          <w:tab w:val="num" w:pos="0" w:leader="none"/>
        </w:tabs>
      </w:pPr>
    </w:lvl>
    <w:lvl w:ilvl="1">
      <w:start w:val="1"/>
      <w:numFmt w:val="lowerLetter"/>
      <w:isLgl w:val="false"/>
      <w:suff w:val="tab"/>
      <w:lvlText w:val="%2."/>
      <w:lvlJc w:val="left"/>
      <w:pPr>
        <w:ind w:left="1440" w:hanging="360"/>
        <w:tabs>
          <w:tab w:val="num" w:pos="0" w:leader="none"/>
        </w:tabs>
      </w:pPr>
    </w:lvl>
    <w:lvl w:ilvl="2">
      <w:start w:val="1"/>
      <w:numFmt w:val="lowerRoman"/>
      <w:isLgl w:val="false"/>
      <w:suff w:val="tab"/>
      <w:lvlText w:val="%3."/>
      <w:lvlJc w:val="right"/>
      <w:pPr>
        <w:ind w:left="2160" w:hanging="180"/>
        <w:tabs>
          <w:tab w:val="num" w:pos="0" w:leader="none"/>
        </w:tabs>
      </w:pPr>
    </w:lvl>
    <w:lvl w:ilvl="3">
      <w:start w:val="1"/>
      <w:numFmt w:val="decimal"/>
      <w:isLgl w:val="false"/>
      <w:suff w:val="tab"/>
      <w:lvlText w:val="%4."/>
      <w:lvlJc w:val="left"/>
      <w:pPr>
        <w:ind w:left="2880" w:hanging="360"/>
        <w:tabs>
          <w:tab w:val="num" w:pos="0" w:leader="none"/>
        </w:tabs>
      </w:pPr>
    </w:lvl>
    <w:lvl w:ilvl="4">
      <w:start w:val="1"/>
      <w:numFmt w:val="lowerLetter"/>
      <w:isLgl w:val="false"/>
      <w:suff w:val="tab"/>
      <w:lvlText w:val="%5."/>
      <w:lvlJc w:val="left"/>
      <w:pPr>
        <w:ind w:left="3600" w:hanging="360"/>
        <w:tabs>
          <w:tab w:val="num" w:pos="0" w:leader="none"/>
        </w:tabs>
      </w:pPr>
    </w:lvl>
    <w:lvl w:ilvl="5">
      <w:start w:val="1"/>
      <w:numFmt w:val="lowerRoman"/>
      <w:isLgl w:val="false"/>
      <w:suff w:val="tab"/>
      <w:lvlText w:val="%6."/>
      <w:lvlJc w:val="right"/>
      <w:pPr>
        <w:ind w:left="4320" w:hanging="180"/>
        <w:tabs>
          <w:tab w:val="num" w:pos="0" w:leader="none"/>
        </w:tabs>
      </w:pPr>
    </w:lvl>
    <w:lvl w:ilvl="6">
      <w:start w:val="1"/>
      <w:numFmt w:val="decimal"/>
      <w:isLgl w:val="false"/>
      <w:suff w:val="tab"/>
      <w:lvlText w:val="%7."/>
      <w:lvlJc w:val="left"/>
      <w:pPr>
        <w:ind w:left="5040" w:hanging="360"/>
        <w:tabs>
          <w:tab w:val="num" w:pos="0" w:leader="none"/>
        </w:tabs>
      </w:pPr>
    </w:lvl>
    <w:lvl w:ilvl="7">
      <w:start w:val="1"/>
      <w:numFmt w:val="lowerLetter"/>
      <w:isLgl w:val="false"/>
      <w:suff w:val="tab"/>
      <w:lvlText w:val="%8."/>
      <w:lvlJc w:val="left"/>
      <w:pPr>
        <w:ind w:left="5760" w:hanging="360"/>
        <w:tabs>
          <w:tab w:val="num" w:pos="0" w:leader="none"/>
        </w:tabs>
      </w:pPr>
    </w:lvl>
    <w:lvl w:ilvl="8">
      <w:start w:val="1"/>
      <w:numFmt w:val="lowerRoman"/>
      <w:isLgl w:val="false"/>
      <w:suff w:val="tab"/>
      <w:lvlText w:val="%9."/>
      <w:lvlJc w:val="right"/>
      <w:pPr>
        <w:ind w:left="6480" w:hanging="180"/>
        <w:tabs>
          <w:tab w:val="num" w:pos="0" w:leader="none"/>
        </w:tabs>
      </w:pPr>
    </w:lvl>
  </w:abstractNum>
  <w:abstractNum w:abstractNumId="2">
    <w:multiLevelType w:val="hybridMultilevel"/>
    <w:lvl w:ilvl="0">
      <w:start w:val="1"/>
      <w:numFmt w:val="decimal"/>
      <w:isLgl w:val="false"/>
      <w:suff w:val="tab"/>
      <w:lvlText w:val="%1."/>
      <w:lvlJc w:val="left"/>
      <w:pPr>
        <w:ind w:left="720" w:hanging="360"/>
        <w:tabs>
          <w:tab w:val="num" w:pos="0" w:leader="none"/>
        </w:tabs>
      </w:pPr>
    </w:lvl>
    <w:lvl w:ilvl="1">
      <w:start w:val="1"/>
      <w:numFmt w:val="lowerLetter"/>
      <w:isLgl w:val="false"/>
      <w:suff w:val="tab"/>
      <w:lvlText w:val="%2."/>
      <w:lvlJc w:val="left"/>
      <w:pPr>
        <w:ind w:left="1440" w:hanging="360"/>
        <w:tabs>
          <w:tab w:val="num" w:pos="0" w:leader="none"/>
        </w:tabs>
      </w:pPr>
    </w:lvl>
    <w:lvl w:ilvl="2">
      <w:start w:val="1"/>
      <w:numFmt w:val="lowerRoman"/>
      <w:isLgl w:val="false"/>
      <w:suff w:val="tab"/>
      <w:lvlText w:val="%3."/>
      <w:lvlJc w:val="right"/>
      <w:pPr>
        <w:ind w:left="2160" w:hanging="180"/>
        <w:tabs>
          <w:tab w:val="num" w:pos="0" w:leader="none"/>
        </w:tabs>
      </w:pPr>
    </w:lvl>
    <w:lvl w:ilvl="3">
      <w:start w:val="1"/>
      <w:numFmt w:val="decimal"/>
      <w:isLgl w:val="false"/>
      <w:suff w:val="tab"/>
      <w:lvlText w:val="%4."/>
      <w:lvlJc w:val="left"/>
      <w:pPr>
        <w:ind w:left="2880" w:hanging="360"/>
        <w:tabs>
          <w:tab w:val="num" w:pos="0" w:leader="none"/>
        </w:tabs>
      </w:pPr>
    </w:lvl>
    <w:lvl w:ilvl="4">
      <w:start w:val="1"/>
      <w:numFmt w:val="lowerLetter"/>
      <w:isLgl w:val="false"/>
      <w:suff w:val="tab"/>
      <w:lvlText w:val="%5."/>
      <w:lvlJc w:val="left"/>
      <w:pPr>
        <w:ind w:left="3600" w:hanging="360"/>
        <w:tabs>
          <w:tab w:val="num" w:pos="0" w:leader="none"/>
        </w:tabs>
      </w:pPr>
    </w:lvl>
    <w:lvl w:ilvl="5">
      <w:start w:val="1"/>
      <w:numFmt w:val="lowerRoman"/>
      <w:isLgl w:val="false"/>
      <w:suff w:val="tab"/>
      <w:lvlText w:val="%6."/>
      <w:lvlJc w:val="right"/>
      <w:pPr>
        <w:ind w:left="4320" w:hanging="180"/>
        <w:tabs>
          <w:tab w:val="num" w:pos="0" w:leader="none"/>
        </w:tabs>
      </w:pPr>
    </w:lvl>
    <w:lvl w:ilvl="6">
      <w:start w:val="1"/>
      <w:numFmt w:val="decimal"/>
      <w:isLgl w:val="false"/>
      <w:suff w:val="tab"/>
      <w:lvlText w:val="%7."/>
      <w:lvlJc w:val="left"/>
      <w:pPr>
        <w:ind w:left="5040" w:hanging="360"/>
        <w:tabs>
          <w:tab w:val="num" w:pos="0" w:leader="none"/>
        </w:tabs>
      </w:pPr>
    </w:lvl>
    <w:lvl w:ilvl="7">
      <w:start w:val="1"/>
      <w:numFmt w:val="lowerLetter"/>
      <w:isLgl w:val="false"/>
      <w:suff w:val="tab"/>
      <w:lvlText w:val="%8."/>
      <w:lvlJc w:val="left"/>
      <w:pPr>
        <w:ind w:left="5760" w:hanging="360"/>
        <w:tabs>
          <w:tab w:val="num" w:pos="0" w:leader="none"/>
        </w:tabs>
      </w:pPr>
    </w:lvl>
    <w:lvl w:ilvl="8">
      <w:start w:val="1"/>
      <w:numFmt w:val="lowerRoman"/>
      <w:isLgl w:val="false"/>
      <w:suff w:val="tab"/>
      <w:lvlText w:val="%9."/>
      <w:lvlJc w:val="right"/>
      <w:pPr>
        <w:ind w:left="6480" w:hanging="180"/>
        <w:tabs>
          <w:tab w:val="num" w:pos="0" w:leader="none"/>
        </w:tabs>
      </w:pPr>
    </w:lvl>
  </w:abstractNum>
  <w:abstractNum w:abstractNumId="3">
    <w:multiLevelType w:val="hybridMultilevel"/>
    <w:lvl w:ilvl="0">
      <w:start w:val="1"/>
      <w:numFmt w:val="decimal"/>
      <w:isLgl w:val="false"/>
      <w:suff w:val="tab"/>
      <w:lvlText w:val="%1."/>
      <w:lvlJc w:val="left"/>
      <w:pPr>
        <w:ind w:left="720" w:hanging="360"/>
        <w:tabs>
          <w:tab w:val="num" w:pos="0" w:leader="none"/>
        </w:tabs>
      </w:pPr>
    </w:lvl>
    <w:lvl w:ilvl="1">
      <w:start w:val="1"/>
      <w:numFmt w:val="lowerLetter"/>
      <w:isLgl w:val="false"/>
      <w:suff w:val="tab"/>
      <w:lvlText w:val="%2."/>
      <w:lvlJc w:val="left"/>
      <w:pPr>
        <w:ind w:left="1440" w:hanging="360"/>
        <w:tabs>
          <w:tab w:val="num" w:pos="0" w:leader="none"/>
        </w:tabs>
      </w:pPr>
    </w:lvl>
    <w:lvl w:ilvl="2">
      <w:start w:val="1"/>
      <w:numFmt w:val="lowerRoman"/>
      <w:isLgl w:val="false"/>
      <w:suff w:val="tab"/>
      <w:lvlText w:val="%3."/>
      <w:lvlJc w:val="right"/>
      <w:pPr>
        <w:ind w:left="2160" w:hanging="180"/>
        <w:tabs>
          <w:tab w:val="num" w:pos="0" w:leader="none"/>
        </w:tabs>
      </w:pPr>
    </w:lvl>
    <w:lvl w:ilvl="3">
      <w:start w:val="1"/>
      <w:numFmt w:val="decimal"/>
      <w:isLgl w:val="false"/>
      <w:suff w:val="tab"/>
      <w:lvlText w:val="%4."/>
      <w:lvlJc w:val="left"/>
      <w:pPr>
        <w:ind w:left="2880" w:hanging="360"/>
        <w:tabs>
          <w:tab w:val="num" w:pos="0" w:leader="none"/>
        </w:tabs>
      </w:pPr>
    </w:lvl>
    <w:lvl w:ilvl="4">
      <w:start w:val="1"/>
      <w:numFmt w:val="lowerLetter"/>
      <w:isLgl w:val="false"/>
      <w:suff w:val="tab"/>
      <w:lvlText w:val="%5."/>
      <w:lvlJc w:val="left"/>
      <w:pPr>
        <w:ind w:left="3600" w:hanging="360"/>
        <w:tabs>
          <w:tab w:val="num" w:pos="0" w:leader="none"/>
        </w:tabs>
      </w:pPr>
    </w:lvl>
    <w:lvl w:ilvl="5">
      <w:start w:val="1"/>
      <w:numFmt w:val="lowerRoman"/>
      <w:isLgl w:val="false"/>
      <w:suff w:val="tab"/>
      <w:lvlText w:val="%6."/>
      <w:lvlJc w:val="right"/>
      <w:pPr>
        <w:ind w:left="4320" w:hanging="180"/>
        <w:tabs>
          <w:tab w:val="num" w:pos="0" w:leader="none"/>
        </w:tabs>
      </w:pPr>
    </w:lvl>
    <w:lvl w:ilvl="6">
      <w:start w:val="1"/>
      <w:numFmt w:val="decimal"/>
      <w:isLgl w:val="false"/>
      <w:suff w:val="tab"/>
      <w:lvlText w:val="%7."/>
      <w:lvlJc w:val="left"/>
      <w:pPr>
        <w:ind w:left="5040" w:hanging="360"/>
        <w:tabs>
          <w:tab w:val="num" w:pos="0" w:leader="none"/>
        </w:tabs>
      </w:pPr>
    </w:lvl>
    <w:lvl w:ilvl="7">
      <w:start w:val="1"/>
      <w:numFmt w:val="lowerLetter"/>
      <w:isLgl w:val="false"/>
      <w:suff w:val="tab"/>
      <w:lvlText w:val="%8."/>
      <w:lvlJc w:val="left"/>
      <w:pPr>
        <w:ind w:left="5760" w:hanging="360"/>
        <w:tabs>
          <w:tab w:val="num" w:pos="0" w:leader="none"/>
        </w:tabs>
      </w:pPr>
    </w:lvl>
    <w:lvl w:ilvl="8">
      <w:start w:val="1"/>
      <w:numFmt w:val="lowerRoman"/>
      <w:isLgl w:val="false"/>
      <w:suff w:val="tab"/>
      <w:lvlText w:val="%9."/>
      <w:lvlJc w:val="right"/>
      <w:pPr>
        <w:ind w:left="6480" w:hanging="180"/>
        <w:tabs>
          <w:tab w:val="num" w:pos="0" w:leader="none"/>
        </w:tabs>
      </w:pPr>
    </w:lvl>
  </w:abstractNum>
  <w:abstractNum w:abstractNumId="4">
    <w:multiLevelType w:val="hybridMultilevel"/>
    <w:lvl w:ilvl="0">
      <w:start w:val="1"/>
      <w:numFmt w:val="decimal"/>
      <w:isLgl w:val="false"/>
      <w:suff w:val="tab"/>
      <w:lvlText w:val="%1."/>
      <w:lvlJc w:val="left"/>
      <w:pPr>
        <w:ind w:left="720" w:hanging="360"/>
        <w:tabs>
          <w:tab w:val="num" w:pos="0" w:leader="none"/>
        </w:tabs>
      </w:pPr>
    </w:lvl>
    <w:lvl w:ilvl="1">
      <w:start w:val="1"/>
      <w:numFmt w:val="lowerLetter"/>
      <w:isLgl w:val="false"/>
      <w:suff w:val="tab"/>
      <w:lvlText w:val="%2."/>
      <w:lvlJc w:val="left"/>
      <w:pPr>
        <w:ind w:left="1440" w:hanging="360"/>
        <w:tabs>
          <w:tab w:val="num" w:pos="0" w:leader="none"/>
        </w:tabs>
      </w:pPr>
    </w:lvl>
    <w:lvl w:ilvl="2">
      <w:start w:val="1"/>
      <w:numFmt w:val="lowerRoman"/>
      <w:isLgl w:val="false"/>
      <w:suff w:val="tab"/>
      <w:lvlText w:val="%3."/>
      <w:lvlJc w:val="right"/>
      <w:pPr>
        <w:ind w:left="2160" w:hanging="180"/>
        <w:tabs>
          <w:tab w:val="num" w:pos="0" w:leader="none"/>
        </w:tabs>
      </w:pPr>
    </w:lvl>
    <w:lvl w:ilvl="3">
      <w:start w:val="1"/>
      <w:numFmt w:val="decimal"/>
      <w:isLgl w:val="false"/>
      <w:suff w:val="tab"/>
      <w:lvlText w:val="%4."/>
      <w:lvlJc w:val="left"/>
      <w:pPr>
        <w:ind w:left="2880" w:hanging="360"/>
        <w:tabs>
          <w:tab w:val="num" w:pos="0" w:leader="none"/>
        </w:tabs>
      </w:pPr>
    </w:lvl>
    <w:lvl w:ilvl="4">
      <w:start w:val="1"/>
      <w:numFmt w:val="lowerLetter"/>
      <w:isLgl w:val="false"/>
      <w:suff w:val="tab"/>
      <w:lvlText w:val="%5."/>
      <w:lvlJc w:val="left"/>
      <w:pPr>
        <w:ind w:left="3600" w:hanging="360"/>
        <w:tabs>
          <w:tab w:val="num" w:pos="0" w:leader="none"/>
        </w:tabs>
      </w:pPr>
    </w:lvl>
    <w:lvl w:ilvl="5">
      <w:start w:val="1"/>
      <w:numFmt w:val="lowerRoman"/>
      <w:isLgl w:val="false"/>
      <w:suff w:val="tab"/>
      <w:lvlText w:val="%6."/>
      <w:lvlJc w:val="right"/>
      <w:pPr>
        <w:ind w:left="4320" w:hanging="180"/>
        <w:tabs>
          <w:tab w:val="num" w:pos="0" w:leader="none"/>
        </w:tabs>
      </w:pPr>
    </w:lvl>
    <w:lvl w:ilvl="6">
      <w:start w:val="1"/>
      <w:numFmt w:val="decimal"/>
      <w:isLgl w:val="false"/>
      <w:suff w:val="tab"/>
      <w:lvlText w:val="%7."/>
      <w:lvlJc w:val="left"/>
      <w:pPr>
        <w:ind w:left="5040" w:hanging="360"/>
        <w:tabs>
          <w:tab w:val="num" w:pos="0" w:leader="none"/>
        </w:tabs>
      </w:pPr>
    </w:lvl>
    <w:lvl w:ilvl="7">
      <w:start w:val="1"/>
      <w:numFmt w:val="lowerLetter"/>
      <w:isLgl w:val="false"/>
      <w:suff w:val="tab"/>
      <w:lvlText w:val="%8."/>
      <w:lvlJc w:val="left"/>
      <w:pPr>
        <w:ind w:left="5760" w:hanging="360"/>
        <w:tabs>
          <w:tab w:val="num" w:pos="0" w:leader="none"/>
        </w:tabs>
      </w:pPr>
    </w:lvl>
    <w:lvl w:ilvl="8">
      <w:start w:val="1"/>
      <w:numFmt w:val="lowerRoman"/>
      <w:isLgl w:val="false"/>
      <w:suff w:val="tab"/>
      <w:lvlText w:val="%9."/>
      <w:lvlJc w:val="right"/>
      <w:pPr>
        <w:ind w:left="6480" w:hanging="180"/>
        <w:tabs>
          <w:tab w:val="num" w:pos="0" w:leader="none"/>
        </w:tabs>
      </w:pPr>
    </w:lvl>
  </w:abstractNum>
  <w:abstractNum w:abstractNumId="5">
    <w:multiLevelType w:val="hybridMultilevel"/>
    <w:lvl w:ilvl="0">
      <w:start w:val="1"/>
      <w:numFmt w:val="decimal"/>
      <w:isLgl w:val="false"/>
      <w:suff w:val="tab"/>
      <w:lvlText w:val="%1."/>
      <w:lvlJc w:val="left"/>
      <w:pPr>
        <w:ind w:left="720" w:hanging="360"/>
        <w:tabs>
          <w:tab w:val="num" w:pos="0" w:leader="none"/>
        </w:tabs>
      </w:pPr>
    </w:lvl>
    <w:lvl w:ilvl="1">
      <w:start w:val="1"/>
      <w:numFmt w:val="lowerLetter"/>
      <w:isLgl w:val="false"/>
      <w:suff w:val="tab"/>
      <w:lvlText w:val="%2."/>
      <w:lvlJc w:val="left"/>
      <w:pPr>
        <w:ind w:left="1440" w:hanging="360"/>
        <w:tabs>
          <w:tab w:val="num" w:pos="0" w:leader="none"/>
        </w:tabs>
      </w:pPr>
    </w:lvl>
    <w:lvl w:ilvl="2">
      <w:start w:val="1"/>
      <w:numFmt w:val="lowerRoman"/>
      <w:isLgl w:val="false"/>
      <w:suff w:val="tab"/>
      <w:lvlText w:val="%3."/>
      <w:lvlJc w:val="right"/>
      <w:pPr>
        <w:ind w:left="2160" w:hanging="180"/>
        <w:tabs>
          <w:tab w:val="num" w:pos="0" w:leader="none"/>
        </w:tabs>
      </w:pPr>
    </w:lvl>
    <w:lvl w:ilvl="3">
      <w:start w:val="1"/>
      <w:numFmt w:val="decimal"/>
      <w:isLgl w:val="false"/>
      <w:suff w:val="tab"/>
      <w:lvlText w:val="%4."/>
      <w:lvlJc w:val="left"/>
      <w:pPr>
        <w:ind w:left="2880" w:hanging="360"/>
        <w:tabs>
          <w:tab w:val="num" w:pos="0" w:leader="none"/>
        </w:tabs>
      </w:pPr>
    </w:lvl>
    <w:lvl w:ilvl="4">
      <w:start w:val="1"/>
      <w:numFmt w:val="lowerLetter"/>
      <w:isLgl w:val="false"/>
      <w:suff w:val="tab"/>
      <w:lvlText w:val="%5."/>
      <w:lvlJc w:val="left"/>
      <w:pPr>
        <w:ind w:left="3600" w:hanging="360"/>
        <w:tabs>
          <w:tab w:val="num" w:pos="0" w:leader="none"/>
        </w:tabs>
      </w:pPr>
    </w:lvl>
    <w:lvl w:ilvl="5">
      <w:start w:val="1"/>
      <w:numFmt w:val="lowerRoman"/>
      <w:isLgl w:val="false"/>
      <w:suff w:val="tab"/>
      <w:lvlText w:val="%6."/>
      <w:lvlJc w:val="right"/>
      <w:pPr>
        <w:ind w:left="4320" w:hanging="180"/>
        <w:tabs>
          <w:tab w:val="num" w:pos="0" w:leader="none"/>
        </w:tabs>
      </w:pPr>
    </w:lvl>
    <w:lvl w:ilvl="6">
      <w:start w:val="1"/>
      <w:numFmt w:val="decimal"/>
      <w:isLgl w:val="false"/>
      <w:suff w:val="tab"/>
      <w:lvlText w:val="%7."/>
      <w:lvlJc w:val="left"/>
      <w:pPr>
        <w:ind w:left="5040" w:hanging="360"/>
        <w:tabs>
          <w:tab w:val="num" w:pos="0" w:leader="none"/>
        </w:tabs>
      </w:pPr>
    </w:lvl>
    <w:lvl w:ilvl="7">
      <w:start w:val="1"/>
      <w:numFmt w:val="lowerLetter"/>
      <w:isLgl w:val="false"/>
      <w:suff w:val="tab"/>
      <w:lvlText w:val="%8."/>
      <w:lvlJc w:val="left"/>
      <w:pPr>
        <w:ind w:left="5760" w:hanging="360"/>
        <w:tabs>
          <w:tab w:val="num" w:pos="0" w:leader="none"/>
        </w:tabs>
      </w:pPr>
    </w:lvl>
    <w:lvl w:ilvl="8">
      <w:start w:val="1"/>
      <w:numFmt w:val="lowerRoman"/>
      <w:isLgl w:val="false"/>
      <w:suff w:val="tab"/>
      <w:lvlText w:val="%9."/>
      <w:lvlJc w:val="right"/>
      <w:pPr>
        <w:ind w:left="6480" w:hanging="180"/>
        <w:tabs>
          <w:tab w:val="num" w:pos="0" w:leader="none"/>
        </w:tabs>
      </w:pPr>
    </w:lvl>
  </w:abstractNum>
  <w:abstractNum w:abstractNumId="6">
    <w:multiLevelType w:val="hybridMultilevel"/>
    <w:lvl w:ilvl="0">
      <w:start w:val="1"/>
      <w:numFmt w:val="decimal"/>
      <w:isLgl w:val="false"/>
      <w:suff w:val="tab"/>
      <w:lvlText w:val="%1."/>
      <w:lvlJc w:val="left"/>
      <w:pPr>
        <w:ind w:left="1637" w:hanging="360"/>
        <w:tabs>
          <w:tab w:val="num" w:pos="0" w:leader="none"/>
        </w:tabs>
      </w:pPr>
    </w:lvl>
    <w:lvl w:ilvl="1">
      <w:start w:val="1"/>
      <w:numFmt w:val="decimal"/>
      <w:isLgl w:val="false"/>
      <w:suff w:val="tab"/>
      <w:lvlText w:val="%1.%2."/>
      <w:lvlJc w:val="left"/>
      <w:pPr>
        <w:ind w:left="792" w:hanging="432"/>
        <w:tabs>
          <w:tab w:val="num" w:pos="0" w:leader="none"/>
        </w:tabs>
      </w:pPr>
    </w:lvl>
    <w:lvl w:ilvl="2">
      <w:start w:val="1"/>
      <w:numFmt w:val="decimal"/>
      <w:isLgl w:val="false"/>
      <w:suff w:val="tab"/>
      <w:lvlText w:val="%1.%2.%3."/>
      <w:lvlJc w:val="left"/>
      <w:pPr>
        <w:ind w:left="1224" w:hanging="504"/>
        <w:tabs>
          <w:tab w:val="num" w:pos="0" w:leader="none"/>
        </w:tabs>
      </w:pPr>
    </w:lvl>
    <w:lvl w:ilvl="3">
      <w:start w:val="1"/>
      <w:numFmt w:val="decimal"/>
      <w:isLgl w:val="false"/>
      <w:suff w:val="tab"/>
      <w:lvlText w:val="%1.%2.%3.%4."/>
      <w:lvlJc w:val="left"/>
      <w:pPr>
        <w:ind w:left="1728" w:hanging="648"/>
        <w:tabs>
          <w:tab w:val="num" w:pos="0" w:leader="none"/>
        </w:tabs>
      </w:pPr>
    </w:lvl>
    <w:lvl w:ilvl="4">
      <w:start w:val="1"/>
      <w:numFmt w:val="decimal"/>
      <w:isLgl w:val="false"/>
      <w:suff w:val="tab"/>
      <w:lvlText w:val="%1.%2.%3.%4.%5."/>
      <w:lvlJc w:val="left"/>
      <w:pPr>
        <w:ind w:left="2232" w:hanging="792"/>
        <w:tabs>
          <w:tab w:val="num" w:pos="0" w:leader="none"/>
        </w:tabs>
      </w:pPr>
    </w:lvl>
    <w:lvl w:ilvl="5">
      <w:start w:val="1"/>
      <w:numFmt w:val="decimal"/>
      <w:isLgl w:val="false"/>
      <w:suff w:val="tab"/>
      <w:lvlText w:val="%1.%2.%3.%4.%5.%6."/>
      <w:lvlJc w:val="left"/>
      <w:pPr>
        <w:ind w:left="2736" w:hanging="936"/>
        <w:tabs>
          <w:tab w:val="num" w:pos="0" w:leader="none"/>
        </w:tabs>
      </w:pPr>
    </w:lvl>
    <w:lvl w:ilvl="6">
      <w:start w:val="1"/>
      <w:numFmt w:val="decimal"/>
      <w:isLgl w:val="false"/>
      <w:suff w:val="tab"/>
      <w:lvlText w:val="%1.%2.%3.%4.%5.%6.%7."/>
      <w:lvlJc w:val="left"/>
      <w:pPr>
        <w:ind w:left="3240" w:hanging="1080"/>
        <w:tabs>
          <w:tab w:val="num" w:pos="0" w:leader="none"/>
        </w:tabs>
      </w:pPr>
    </w:lvl>
    <w:lvl w:ilvl="7">
      <w:start w:val="1"/>
      <w:numFmt w:val="decimal"/>
      <w:isLgl w:val="false"/>
      <w:suff w:val="tab"/>
      <w:lvlText w:val="%1.%2.%3.%4.%5.%6.%7.%8."/>
      <w:lvlJc w:val="left"/>
      <w:pPr>
        <w:ind w:left="3744" w:hanging="1224"/>
        <w:tabs>
          <w:tab w:val="num" w:pos="0" w:leader="none"/>
        </w:tabs>
      </w:pPr>
    </w:lvl>
    <w:lvl w:ilvl="8">
      <w:start w:val="1"/>
      <w:numFmt w:val="decimal"/>
      <w:isLgl w:val="false"/>
      <w:suff w:val="tab"/>
      <w:lvlText w:val="%1.%2.%3.%4.%5.%6.%7.%8.%9."/>
      <w:lvlJc w:val="left"/>
      <w:pPr>
        <w:ind w:left="4320" w:hanging="1440"/>
        <w:tabs>
          <w:tab w:val="num" w:pos="0" w:leader="none"/>
        </w:tabs>
      </w:pPr>
    </w:lvl>
  </w:abstractNum>
  <w:abstractNum w:abstractNumId="7">
    <w:multiLevelType w:val="hybridMultilevel"/>
    <w:lvl w:ilvl="0">
      <w:start w:val="1"/>
      <w:numFmt w:val="russianLower"/>
      <w:isLgl w:val="false"/>
      <w:suff w:val="tab"/>
      <w:lvlText w:val="%1)"/>
      <w:lvlJc w:val="left"/>
      <w:pPr>
        <w:ind w:left="720" w:hanging="360"/>
        <w:tabs>
          <w:tab w:val="num" w:pos="0" w:leader="none"/>
        </w:tabs>
      </w:pPr>
    </w:lvl>
    <w:lvl w:ilvl="1">
      <w:start w:val="1"/>
      <w:numFmt w:val="bullet"/>
      <w:isLgl w:val="false"/>
      <w:suff w:val="tab"/>
      <w:lvlText w:val="o"/>
      <w:lvlJc w:val="left"/>
      <w:pPr>
        <w:ind w:left="1440" w:hanging="360"/>
        <w:tabs>
          <w:tab w:val="num" w:pos="0" w:leader="none"/>
        </w:tabs>
      </w:pPr>
      <w:rPr>
        <w:rFonts w:hint="default" w:ascii="Courier New" w:hAnsi="Courier New" w:cs="Courier New"/>
      </w:rPr>
    </w:lvl>
    <w:lvl w:ilvl="2">
      <w:start w:val="1"/>
      <w:numFmt w:val="bullet"/>
      <w:isLgl w:val="false"/>
      <w:suff w:val="tab"/>
      <w:lvlText w:val=""/>
      <w:lvlJc w:val="left"/>
      <w:pPr>
        <w:ind w:left="2160" w:hanging="360"/>
        <w:tabs>
          <w:tab w:val="num" w:pos="0" w:leader="none"/>
        </w:tabs>
      </w:pPr>
      <w:rPr>
        <w:rFonts w:hint="default" w:ascii="Wingdings" w:hAnsi="Wingdings" w:cs="Wingdings"/>
      </w:rPr>
    </w:lvl>
    <w:lvl w:ilvl="3">
      <w:start w:val="1"/>
      <w:numFmt w:val="bullet"/>
      <w:isLgl w:val="false"/>
      <w:suff w:val="tab"/>
      <w:lvlText w:val=""/>
      <w:lvlJc w:val="left"/>
      <w:pPr>
        <w:ind w:left="2880" w:hanging="360"/>
        <w:tabs>
          <w:tab w:val="num" w:pos="0" w:leader="none"/>
        </w:tabs>
      </w:pPr>
      <w:rPr>
        <w:rFonts w:hint="default" w:ascii="Symbol" w:hAnsi="Symbol" w:cs="Symbol"/>
      </w:rPr>
    </w:lvl>
    <w:lvl w:ilvl="4">
      <w:start w:val="1"/>
      <w:numFmt w:val="bullet"/>
      <w:isLgl w:val="false"/>
      <w:suff w:val="tab"/>
      <w:lvlText w:val="o"/>
      <w:lvlJc w:val="left"/>
      <w:pPr>
        <w:ind w:left="3600" w:hanging="360"/>
        <w:tabs>
          <w:tab w:val="num" w:pos="0" w:leader="none"/>
        </w:tabs>
      </w:pPr>
      <w:rPr>
        <w:rFonts w:hint="default" w:ascii="Courier New" w:hAnsi="Courier New" w:cs="Courier New"/>
      </w:rPr>
    </w:lvl>
    <w:lvl w:ilvl="5">
      <w:start w:val="1"/>
      <w:numFmt w:val="bullet"/>
      <w:isLgl w:val="false"/>
      <w:suff w:val="tab"/>
      <w:lvlText w:val=""/>
      <w:lvlJc w:val="left"/>
      <w:pPr>
        <w:ind w:left="4320" w:hanging="360"/>
        <w:tabs>
          <w:tab w:val="num" w:pos="0" w:leader="none"/>
        </w:tabs>
      </w:pPr>
      <w:rPr>
        <w:rFonts w:hint="default" w:ascii="Wingdings" w:hAnsi="Wingdings" w:cs="Wingdings"/>
      </w:rPr>
    </w:lvl>
    <w:lvl w:ilvl="6">
      <w:start w:val="1"/>
      <w:numFmt w:val="bullet"/>
      <w:isLgl w:val="false"/>
      <w:suff w:val="tab"/>
      <w:lvlText w:val=""/>
      <w:lvlJc w:val="left"/>
      <w:pPr>
        <w:ind w:left="5040" w:hanging="360"/>
        <w:tabs>
          <w:tab w:val="num" w:pos="0" w:leader="none"/>
        </w:tabs>
      </w:pPr>
      <w:rPr>
        <w:rFonts w:hint="default" w:ascii="Symbol" w:hAnsi="Symbol" w:cs="Symbol"/>
      </w:rPr>
    </w:lvl>
    <w:lvl w:ilvl="7">
      <w:start w:val="1"/>
      <w:numFmt w:val="bullet"/>
      <w:isLgl w:val="false"/>
      <w:suff w:val="tab"/>
      <w:lvlText w:val="o"/>
      <w:lvlJc w:val="left"/>
      <w:pPr>
        <w:ind w:left="5760" w:hanging="360"/>
        <w:tabs>
          <w:tab w:val="num" w:pos="0" w:leader="none"/>
        </w:tabs>
      </w:pPr>
      <w:rPr>
        <w:rFonts w:hint="default" w:ascii="Courier New" w:hAnsi="Courier New" w:cs="Courier New"/>
      </w:rPr>
    </w:lvl>
    <w:lvl w:ilvl="8">
      <w:start w:val="1"/>
      <w:numFmt w:val="bullet"/>
      <w:isLgl w:val="false"/>
      <w:suff w:val="tab"/>
      <w:lvlText w:val=""/>
      <w:lvlJc w:val="left"/>
      <w:pPr>
        <w:ind w:left="6480" w:hanging="360"/>
        <w:tabs>
          <w:tab w:val="num" w:pos="0" w:leader="none"/>
        </w:tabs>
      </w:pPr>
      <w:rPr>
        <w:rFonts w:hint="default" w:ascii="Wingdings" w:hAnsi="Wingdings" w:cs="Wingdings"/>
      </w:rPr>
    </w:lvl>
  </w:abstractNum>
  <w:abstractNum w:abstractNumId="8">
    <w:multiLevelType w:val="hybridMultilevel"/>
    <w:lvl w:ilvl="0">
      <w:start w:val="1"/>
      <w:numFmt w:val="bullet"/>
      <w:isLgl w:val="false"/>
      <w:suff w:val="tab"/>
      <w:lvlText w:val=""/>
      <w:lvlJc w:val="left"/>
      <w:pPr>
        <w:ind w:left="720" w:hanging="360"/>
        <w:tabs>
          <w:tab w:val="num" w:pos="0" w:leader="none"/>
        </w:tabs>
      </w:pPr>
      <w:rPr>
        <w:rFonts w:hint="default" w:ascii="Symbol" w:hAnsi="Symbol" w:cs="Symbol"/>
      </w:rPr>
    </w:lvl>
    <w:lvl w:ilvl="1">
      <w:start w:val="1"/>
      <w:numFmt w:val="bullet"/>
      <w:isLgl w:val="false"/>
      <w:suff w:val="tab"/>
      <w:lvlText w:val="o"/>
      <w:lvlJc w:val="left"/>
      <w:pPr>
        <w:ind w:left="1440" w:hanging="360"/>
        <w:tabs>
          <w:tab w:val="num" w:pos="0" w:leader="none"/>
        </w:tabs>
      </w:pPr>
      <w:rPr>
        <w:rFonts w:hint="default" w:ascii="Courier New" w:hAnsi="Courier New" w:cs="Courier New"/>
      </w:rPr>
    </w:lvl>
    <w:lvl w:ilvl="2">
      <w:start w:val="1"/>
      <w:numFmt w:val="bullet"/>
      <w:isLgl w:val="false"/>
      <w:suff w:val="tab"/>
      <w:lvlText w:val=""/>
      <w:lvlJc w:val="left"/>
      <w:pPr>
        <w:ind w:left="2160" w:hanging="360"/>
        <w:tabs>
          <w:tab w:val="num" w:pos="0" w:leader="none"/>
        </w:tabs>
      </w:pPr>
      <w:rPr>
        <w:rFonts w:hint="default" w:ascii="Wingdings" w:hAnsi="Wingdings" w:cs="Wingdings"/>
      </w:rPr>
    </w:lvl>
    <w:lvl w:ilvl="3">
      <w:start w:val="1"/>
      <w:numFmt w:val="bullet"/>
      <w:isLgl w:val="false"/>
      <w:suff w:val="tab"/>
      <w:lvlText w:val=""/>
      <w:lvlJc w:val="left"/>
      <w:pPr>
        <w:ind w:left="2880" w:hanging="360"/>
        <w:tabs>
          <w:tab w:val="num" w:pos="0" w:leader="none"/>
        </w:tabs>
      </w:pPr>
      <w:rPr>
        <w:rFonts w:hint="default" w:ascii="Symbol" w:hAnsi="Symbol" w:cs="Symbol"/>
      </w:rPr>
    </w:lvl>
    <w:lvl w:ilvl="4">
      <w:start w:val="1"/>
      <w:numFmt w:val="bullet"/>
      <w:isLgl w:val="false"/>
      <w:suff w:val="tab"/>
      <w:lvlText w:val="o"/>
      <w:lvlJc w:val="left"/>
      <w:pPr>
        <w:ind w:left="3600" w:hanging="360"/>
        <w:tabs>
          <w:tab w:val="num" w:pos="0" w:leader="none"/>
        </w:tabs>
      </w:pPr>
      <w:rPr>
        <w:rFonts w:hint="default" w:ascii="Courier New" w:hAnsi="Courier New" w:cs="Courier New"/>
      </w:rPr>
    </w:lvl>
    <w:lvl w:ilvl="5">
      <w:start w:val="1"/>
      <w:numFmt w:val="bullet"/>
      <w:isLgl w:val="false"/>
      <w:suff w:val="tab"/>
      <w:lvlText w:val=""/>
      <w:lvlJc w:val="left"/>
      <w:pPr>
        <w:ind w:left="4320" w:hanging="360"/>
        <w:tabs>
          <w:tab w:val="num" w:pos="0" w:leader="none"/>
        </w:tabs>
      </w:pPr>
      <w:rPr>
        <w:rFonts w:hint="default" w:ascii="Wingdings" w:hAnsi="Wingdings" w:cs="Wingdings"/>
      </w:rPr>
    </w:lvl>
    <w:lvl w:ilvl="6">
      <w:start w:val="1"/>
      <w:numFmt w:val="bullet"/>
      <w:isLgl w:val="false"/>
      <w:suff w:val="tab"/>
      <w:lvlText w:val=""/>
      <w:lvlJc w:val="left"/>
      <w:pPr>
        <w:ind w:left="5040" w:hanging="360"/>
        <w:tabs>
          <w:tab w:val="num" w:pos="0" w:leader="none"/>
        </w:tabs>
      </w:pPr>
      <w:rPr>
        <w:rFonts w:hint="default" w:ascii="Symbol" w:hAnsi="Symbol" w:cs="Symbol"/>
      </w:rPr>
    </w:lvl>
    <w:lvl w:ilvl="7">
      <w:start w:val="1"/>
      <w:numFmt w:val="bullet"/>
      <w:isLgl w:val="false"/>
      <w:suff w:val="tab"/>
      <w:lvlText w:val="o"/>
      <w:lvlJc w:val="left"/>
      <w:pPr>
        <w:ind w:left="5760" w:hanging="360"/>
        <w:tabs>
          <w:tab w:val="num" w:pos="0" w:leader="none"/>
        </w:tabs>
      </w:pPr>
      <w:rPr>
        <w:rFonts w:hint="default" w:ascii="Courier New" w:hAnsi="Courier New" w:cs="Courier New"/>
      </w:rPr>
    </w:lvl>
    <w:lvl w:ilvl="8">
      <w:start w:val="1"/>
      <w:numFmt w:val="bullet"/>
      <w:isLgl w:val="false"/>
      <w:suff w:val="tab"/>
      <w:lvlText w:val=""/>
      <w:lvlJc w:val="left"/>
      <w:pPr>
        <w:ind w:left="6480" w:hanging="360"/>
        <w:tabs>
          <w:tab w:val="num" w:pos="0" w:leader="none"/>
        </w:tabs>
      </w:pPr>
      <w:rPr>
        <w:rFonts w:hint="default" w:ascii="Wingdings" w:hAnsi="Wingdings" w:cs="Wingdings"/>
      </w:rPr>
    </w:lvl>
  </w:abstractNum>
  <w:abstractNum w:abstractNumId="9">
    <w:multiLevelType w:val="hybridMultilevel"/>
    <w:lvl w:ilvl="0">
      <w:start w:val="1"/>
      <w:numFmt w:val="decimal"/>
      <w:isLgl w:val="false"/>
      <w:suff w:val="tab"/>
      <w:lvlText w:val="%1."/>
      <w:lvlJc w:val="left"/>
      <w:pPr>
        <w:ind w:left="720" w:hanging="360"/>
        <w:tabs>
          <w:tab w:val="num" w:pos="0" w:leader="none"/>
        </w:tabs>
      </w:pPr>
    </w:lvl>
    <w:lvl w:ilvl="1">
      <w:start w:val="1"/>
      <w:numFmt w:val="lowerLetter"/>
      <w:isLgl w:val="false"/>
      <w:suff w:val="tab"/>
      <w:lvlText w:val="%2."/>
      <w:lvlJc w:val="left"/>
      <w:pPr>
        <w:ind w:left="1440" w:hanging="360"/>
        <w:tabs>
          <w:tab w:val="num" w:pos="0" w:leader="none"/>
        </w:tabs>
      </w:pPr>
    </w:lvl>
    <w:lvl w:ilvl="2">
      <w:start w:val="1"/>
      <w:numFmt w:val="lowerRoman"/>
      <w:isLgl w:val="false"/>
      <w:suff w:val="tab"/>
      <w:lvlText w:val="%3."/>
      <w:lvlJc w:val="right"/>
      <w:pPr>
        <w:ind w:left="2160" w:hanging="180"/>
        <w:tabs>
          <w:tab w:val="num" w:pos="0" w:leader="none"/>
        </w:tabs>
      </w:pPr>
    </w:lvl>
    <w:lvl w:ilvl="3">
      <w:start w:val="1"/>
      <w:numFmt w:val="decimal"/>
      <w:isLgl w:val="false"/>
      <w:suff w:val="tab"/>
      <w:lvlText w:val="%4."/>
      <w:lvlJc w:val="left"/>
      <w:pPr>
        <w:ind w:left="2880" w:hanging="360"/>
        <w:tabs>
          <w:tab w:val="num" w:pos="0" w:leader="none"/>
        </w:tabs>
      </w:pPr>
    </w:lvl>
    <w:lvl w:ilvl="4">
      <w:start w:val="1"/>
      <w:numFmt w:val="lowerLetter"/>
      <w:isLgl w:val="false"/>
      <w:suff w:val="tab"/>
      <w:lvlText w:val="%5."/>
      <w:lvlJc w:val="left"/>
      <w:pPr>
        <w:ind w:left="3600" w:hanging="360"/>
        <w:tabs>
          <w:tab w:val="num" w:pos="0" w:leader="none"/>
        </w:tabs>
      </w:pPr>
    </w:lvl>
    <w:lvl w:ilvl="5">
      <w:start w:val="1"/>
      <w:numFmt w:val="lowerRoman"/>
      <w:isLgl w:val="false"/>
      <w:suff w:val="tab"/>
      <w:lvlText w:val="%6."/>
      <w:lvlJc w:val="right"/>
      <w:pPr>
        <w:ind w:left="4320" w:hanging="180"/>
        <w:tabs>
          <w:tab w:val="num" w:pos="0" w:leader="none"/>
        </w:tabs>
      </w:pPr>
    </w:lvl>
    <w:lvl w:ilvl="6">
      <w:start w:val="1"/>
      <w:numFmt w:val="decimal"/>
      <w:isLgl w:val="false"/>
      <w:suff w:val="tab"/>
      <w:lvlText w:val="%7."/>
      <w:lvlJc w:val="left"/>
      <w:pPr>
        <w:ind w:left="5040" w:hanging="360"/>
        <w:tabs>
          <w:tab w:val="num" w:pos="0" w:leader="none"/>
        </w:tabs>
      </w:pPr>
    </w:lvl>
    <w:lvl w:ilvl="7">
      <w:start w:val="1"/>
      <w:numFmt w:val="lowerLetter"/>
      <w:isLgl w:val="false"/>
      <w:suff w:val="tab"/>
      <w:lvlText w:val="%8."/>
      <w:lvlJc w:val="left"/>
      <w:pPr>
        <w:ind w:left="5760" w:hanging="360"/>
        <w:tabs>
          <w:tab w:val="num" w:pos="0" w:leader="none"/>
        </w:tabs>
      </w:pPr>
    </w:lvl>
    <w:lvl w:ilvl="8">
      <w:start w:val="1"/>
      <w:numFmt w:val="lowerRoman"/>
      <w:isLgl w:val="false"/>
      <w:suff w:val="tab"/>
      <w:lvlText w:val="%9."/>
      <w:lvlJc w:val="right"/>
      <w:pPr>
        <w:ind w:left="6480" w:hanging="180"/>
        <w:tabs>
          <w:tab w:val="num" w:pos="0" w:leader="none"/>
        </w:tabs>
      </w:pPr>
    </w:lvl>
  </w:abstractNum>
  <w:abstractNum w:abstractNumId="10">
    <w:multiLevelType w:val="hybridMultilevel"/>
    <w:lvl w:ilvl="0">
      <w:start w:val="1"/>
      <w:numFmt w:val="decimal"/>
      <w:isLgl w:val="false"/>
      <w:suff w:val="tab"/>
      <w:lvlText w:val="%1."/>
      <w:lvlJc w:val="left"/>
      <w:pPr>
        <w:ind w:left="720" w:hanging="360"/>
        <w:tabs>
          <w:tab w:val="num" w:pos="0" w:leader="none"/>
        </w:tabs>
      </w:pPr>
    </w:lvl>
    <w:lvl w:ilvl="1">
      <w:start w:val="1"/>
      <w:numFmt w:val="lowerLetter"/>
      <w:isLgl w:val="false"/>
      <w:suff w:val="tab"/>
      <w:lvlText w:val="%2."/>
      <w:lvlJc w:val="left"/>
      <w:pPr>
        <w:ind w:left="1440" w:hanging="360"/>
        <w:tabs>
          <w:tab w:val="num" w:pos="0" w:leader="none"/>
        </w:tabs>
      </w:pPr>
    </w:lvl>
    <w:lvl w:ilvl="2">
      <w:start w:val="1"/>
      <w:numFmt w:val="lowerRoman"/>
      <w:isLgl w:val="false"/>
      <w:suff w:val="tab"/>
      <w:lvlText w:val="%3."/>
      <w:lvlJc w:val="right"/>
      <w:pPr>
        <w:ind w:left="2160" w:hanging="180"/>
        <w:tabs>
          <w:tab w:val="num" w:pos="0" w:leader="none"/>
        </w:tabs>
      </w:pPr>
    </w:lvl>
    <w:lvl w:ilvl="3">
      <w:start w:val="1"/>
      <w:numFmt w:val="decimal"/>
      <w:isLgl w:val="false"/>
      <w:suff w:val="tab"/>
      <w:lvlText w:val="%4."/>
      <w:lvlJc w:val="left"/>
      <w:pPr>
        <w:ind w:left="2880" w:hanging="360"/>
        <w:tabs>
          <w:tab w:val="num" w:pos="0" w:leader="none"/>
        </w:tabs>
      </w:pPr>
    </w:lvl>
    <w:lvl w:ilvl="4">
      <w:start w:val="1"/>
      <w:numFmt w:val="lowerLetter"/>
      <w:isLgl w:val="false"/>
      <w:suff w:val="tab"/>
      <w:lvlText w:val="%5."/>
      <w:lvlJc w:val="left"/>
      <w:pPr>
        <w:ind w:left="3600" w:hanging="360"/>
        <w:tabs>
          <w:tab w:val="num" w:pos="0" w:leader="none"/>
        </w:tabs>
      </w:pPr>
    </w:lvl>
    <w:lvl w:ilvl="5">
      <w:start w:val="1"/>
      <w:numFmt w:val="lowerRoman"/>
      <w:isLgl w:val="false"/>
      <w:suff w:val="tab"/>
      <w:lvlText w:val="%6."/>
      <w:lvlJc w:val="right"/>
      <w:pPr>
        <w:ind w:left="4320" w:hanging="180"/>
        <w:tabs>
          <w:tab w:val="num" w:pos="0" w:leader="none"/>
        </w:tabs>
      </w:pPr>
    </w:lvl>
    <w:lvl w:ilvl="6">
      <w:start w:val="1"/>
      <w:numFmt w:val="decimal"/>
      <w:isLgl w:val="false"/>
      <w:suff w:val="tab"/>
      <w:lvlText w:val="%7."/>
      <w:lvlJc w:val="left"/>
      <w:pPr>
        <w:ind w:left="5040" w:hanging="360"/>
        <w:tabs>
          <w:tab w:val="num" w:pos="0" w:leader="none"/>
        </w:tabs>
      </w:pPr>
    </w:lvl>
    <w:lvl w:ilvl="7">
      <w:start w:val="1"/>
      <w:numFmt w:val="lowerLetter"/>
      <w:isLgl w:val="false"/>
      <w:suff w:val="tab"/>
      <w:lvlText w:val="%8."/>
      <w:lvlJc w:val="left"/>
      <w:pPr>
        <w:ind w:left="5760" w:hanging="360"/>
        <w:tabs>
          <w:tab w:val="num" w:pos="0" w:leader="none"/>
        </w:tabs>
      </w:pPr>
    </w:lvl>
    <w:lvl w:ilvl="8">
      <w:start w:val="1"/>
      <w:numFmt w:val="lowerRoman"/>
      <w:isLgl w:val="false"/>
      <w:suff w:val="tab"/>
      <w:lvlText w:val="%9."/>
      <w:lvlJc w:val="right"/>
      <w:pPr>
        <w:ind w:left="6480" w:hanging="180"/>
        <w:tabs>
          <w:tab w:val="num" w:pos="0" w:leader="none"/>
        </w:tabs>
      </w:pPr>
    </w:lvl>
  </w:abstractNum>
  <w:abstractNum w:abstractNumId="11">
    <w:multiLevelType w:val="hybridMultilevel"/>
    <w:lvl w:ilvl="0">
      <w:start w:val="1"/>
      <w:numFmt w:val="bullet"/>
      <w:isLgl w:val="false"/>
      <w:suff w:val="tab"/>
      <w:lvlText w:val=""/>
      <w:lvlJc w:val="left"/>
      <w:pPr>
        <w:ind w:left="720" w:hanging="360"/>
        <w:tabs>
          <w:tab w:val="num" w:pos="0" w:leader="none"/>
        </w:tabs>
      </w:pPr>
      <w:rPr>
        <w:rFonts w:hint="default" w:ascii="Symbol" w:hAnsi="Symbol" w:cs="Symbol"/>
      </w:rPr>
    </w:lvl>
    <w:lvl w:ilvl="1">
      <w:start w:val="1"/>
      <w:numFmt w:val="bullet"/>
      <w:isLgl w:val="false"/>
      <w:suff w:val="tab"/>
      <w:lvlText w:val="o"/>
      <w:lvlJc w:val="left"/>
      <w:pPr>
        <w:ind w:left="1440" w:hanging="360"/>
        <w:tabs>
          <w:tab w:val="num" w:pos="0" w:leader="none"/>
        </w:tabs>
      </w:pPr>
      <w:rPr>
        <w:rFonts w:hint="default" w:ascii="Courier New" w:hAnsi="Courier New" w:cs="Courier New"/>
      </w:rPr>
    </w:lvl>
    <w:lvl w:ilvl="2">
      <w:start w:val="1"/>
      <w:numFmt w:val="bullet"/>
      <w:isLgl w:val="false"/>
      <w:suff w:val="tab"/>
      <w:lvlText w:val=""/>
      <w:lvlJc w:val="left"/>
      <w:pPr>
        <w:ind w:left="2160" w:hanging="360"/>
        <w:tabs>
          <w:tab w:val="num" w:pos="0" w:leader="none"/>
        </w:tabs>
      </w:pPr>
      <w:rPr>
        <w:rFonts w:hint="default" w:ascii="Wingdings" w:hAnsi="Wingdings" w:cs="Wingdings"/>
      </w:rPr>
    </w:lvl>
    <w:lvl w:ilvl="3">
      <w:start w:val="1"/>
      <w:numFmt w:val="bullet"/>
      <w:isLgl w:val="false"/>
      <w:suff w:val="tab"/>
      <w:lvlText w:val=""/>
      <w:lvlJc w:val="left"/>
      <w:pPr>
        <w:ind w:left="2880" w:hanging="360"/>
        <w:tabs>
          <w:tab w:val="num" w:pos="0" w:leader="none"/>
        </w:tabs>
      </w:pPr>
      <w:rPr>
        <w:rFonts w:hint="default" w:ascii="Symbol" w:hAnsi="Symbol" w:cs="Symbol"/>
      </w:rPr>
    </w:lvl>
    <w:lvl w:ilvl="4">
      <w:start w:val="1"/>
      <w:numFmt w:val="bullet"/>
      <w:isLgl w:val="false"/>
      <w:suff w:val="tab"/>
      <w:lvlText w:val="o"/>
      <w:lvlJc w:val="left"/>
      <w:pPr>
        <w:ind w:left="3600" w:hanging="360"/>
        <w:tabs>
          <w:tab w:val="num" w:pos="0" w:leader="none"/>
        </w:tabs>
      </w:pPr>
      <w:rPr>
        <w:rFonts w:hint="default" w:ascii="Courier New" w:hAnsi="Courier New" w:cs="Courier New"/>
      </w:rPr>
    </w:lvl>
    <w:lvl w:ilvl="5">
      <w:start w:val="1"/>
      <w:numFmt w:val="bullet"/>
      <w:isLgl w:val="false"/>
      <w:suff w:val="tab"/>
      <w:lvlText w:val=""/>
      <w:lvlJc w:val="left"/>
      <w:pPr>
        <w:ind w:left="4320" w:hanging="360"/>
        <w:tabs>
          <w:tab w:val="num" w:pos="0" w:leader="none"/>
        </w:tabs>
      </w:pPr>
      <w:rPr>
        <w:rFonts w:hint="default" w:ascii="Wingdings" w:hAnsi="Wingdings" w:cs="Wingdings"/>
      </w:rPr>
    </w:lvl>
    <w:lvl w:ilvl="6">
      <w:start w:val="1"/>
      <w:numFmt w:val="bullet"/>
      <w:isLgl w:val="false"/>
      <w:suff w:val="tab"/>
      <w:lvlText w:val=""/>
      <w:lvlJc w:val="left"/>
      <w:pPr>
        <w:ind w:left="5040" w:hanging="360"/>
        <w:tabs>
          <w:tab w:val="num" w:pos="0" w:leader="none"/>
        </w:tabs>
      </w:pPr>
      <w:rPr>
        <w:rFonts w:hint="default" w:ascii="Symbol" w:hAnsi="Symbol" w:cs="Symbol"/>
      </w:rPr>
    </w:lvl>
    <w:lvl w:ilvl="7">
      <w:start w:val="1"/>
      <w:numFmt w:val="bullet"/>
      <w:isLgl w:val="false"/>
      <w:suff w:val="tab"/>
      <w:lvlText w:val="o"/>
      <w:lvlJc w:val="left"/>
      <w:pPr>
        <w:ind w:left="5760" w:hanging="360"/>
        <w:tabs>
          <w:tab w:val="num" w:pos="0" w:leader="none"/>
        </w:tabs>
      </w:pPr>
      <w:rPr>
        <w:rFonts w:hint="default" w:ascii="Courier New" w:hAnsi="Courier New" w:cs="Courier New"/>
      </w:rPr>
    </w:lvl>
    <w:lvl w:ilvl="8">
      <w:start w:val="1"/>
      <w:numFmt w:val="bullet"/>
      <w:isLgl w:val="false"/>
      <w:suff w:val="tab"/>
      <w:lvlText w:val=""/>
      <w:lvlJc w:val="left"/>
      <w:pPr>
        <w:ind w:left="6480" w:hanging="360"/>
        <w:tabs>
          <w:tab w:val="num" w:pos="0" w:leader="none"/>
        </w:tabs>
      </w:pPr>
      <w:rPr>
        <w:rFonts w:hint="default" w:ascii="Wingdings" w:hAnsi="Wingdings" w:cs="Wingdings"/>
      </w:rPr>
    </w:lvl>
  </w:abstractNum>
  <w:abstractNum w:abstractNumId="12">
    <w:multiLevelType w:val="hybridMultilevel"/>
    <w:lvl w:ilvl="0">
      <w:start w:val="1"/>
      <w:numFmt w:val="decimal"/>
      <w:isLgl w:val="false"/>
      <w:suff w:val="tab"/>
      <w:lvlText w:val="%1."/>
      <w:lvlJc w:val="left"/>
      <w:pPr>
        <w:ind w:left="360" w:hanging="360"/>
        <w:tabs>
          <w:tab w:val="num" w:pos="0" w:leader="none"/>
        </w:tabs>
      </w:pPr>
    </w:lvl>
    <w:lvl w:ilvl="1">
      <w:start w:val="1"/>
      <w:numFmt w:val="decimal"/>
      <w:isLgl w:val="false"/>
      <w:suff w:val="tab"/>
      <w:lvlText w:val="%1.%2."/>
      <w:lvlJc w:val="left"/>
      <w:pPr>
        <w:ind w:left="792" w:hanging="432"/>
        <w:tabs>
          <w:tab w:val="num" w:pos="0" w:leader="none"/>
        </w:tabs>
      </w:pPr>
    </w:lvl>
    <w:lvl w:ilvl="2">
      <w:start w:val="1"/>
      <w:numFmt w:val="decimal"/>
      <w:isLgl w:val="false"/>
      <w:suff w:val="tab"/>
      <w:lvlText w:val="%1.%2.%3."/>
      <w:lvlJc w:val="left"/>
      <w:pPr>
        <w:ind w:left="1224" w:hanging="504"/>
        <w:tabs>
          <w:tab w:val="num" w:pos="0" w:leader="none"/>
        </w:tabs>
      </w:pPr>
    </w:lvl>
    <w:lvl w:ilvl="3">
      <w:start w:val="1"/>
      <w:numFmt w:val="decimal"/>
      <w:isLgl w:val="false"/>
      <w:suff w:val="tab"/>
      <w:lvlText w:val="%1.%2.%3.%4."/>
      <w:lvlJc w:val="left"/>
      <w:pPr>
        <w:ind w:left="1728" w:hanging="648"/>
        <w:tabs>
          <w:tab w:val="num" w:pos="0" w:leader="none"/>
        </w:tabs>
      </w:pPr>
    </w:lvl>
    <w:lvl w:ilvl="4">
      <w:start w:val="1"/>
      <w:numFmt w:val="decimal"/>
      <w:isLgl w:val="false"/>
      <w:suff w:val="tab"/>
      <w:lvlText w:val="%1.%2.%3.%4.%5."/>
      <w:lvlJc w:val="left"/>
      <w:pPr>
        <w:ind w:left="2232" w:hanging="792"/>
        <w:tabs>
          <w:tab w:val="num" w:pos="0" w:leader="none"/>
        </w:tabs>
      </w:pPr>
    </w:lvl>
    <w:lvl w:ilvl="5">
      <w:start w:val="1"/>
      <w:numFmt w:val="decimal"/>
      <w:isLgl w:val="false"/>
      <w:suff w:val="tab"/>
      <w:lvlText w:val="%1.%2.%3.%4.%5.%6."/>
      <w:lvlJc w:val="left"/>
      <w:pPr>
        <w:ind w:left="2736" w:hanging="936"/>
        <w:tabs>
          <w:tab w:val="num" w:pos="0" w:leader="none"/>
        </w:tabs>
      </w:pPr>
    </w:lvl>
    <w:lvl w:ilvl="6">
      <w:start w:val="1"/>
      <w:numFmt w:val="decimal"/>
      <w:isLgl w:val="false"/>
      <w:suff w:val="tab"/>
      <w:lvlText w:val="%1.%2.%3.%4.%5.%6.%7."/>
      <w:lvlJc w:val="left"/>
      <w:pPr>
        <w:ind w:left="3240" w:hanging="1080"/>
        <w:tabs>
          <w:tab w:val="num" w:pos="0" w:leader="none"/>
        </w:tabs>
      </w:pPr>
    </w:lvl>
    <w:lvl w:ilvl="7">
      <w:start w:val="1"/>
      <w:numFmt w:val="decimal"/>
      <w:isLgl w:val="false"/>
      <w:suff w:val="tab"/>
      <w:lvlText w:val="%1.%2.%3.%4.%5.%6.%7.%8."/>
      <w:lvlJc w:val="left"/>
      <w:pPr>
        <w:ind w:left="3744" w:hanging="1224"/>
        <w:tabs>
          <w:tab w:val="num" w:pos="0" w:leader="none"/>
        </w:tabs>
      </w:pPr>
    </w:lvl>
    <w:lvl w:ilvl="8">
      <w:start w:val="1"/>
      <w:numFmt w:val="decimal"/>
      <w:isLgl w:val="false"/>
      <w:suff w:val="tab"/>
      <w:lvlText w:val="%1.%2.%3.%4.%5.%6.%7.%8.%9."/>
      <w:lvlJc w:val="left"/>
      <w:pPr>
        <w:ind w:left="4320" w:hanging="1440"/>
        <w:tabs>
          <w:tab w:val="num" w:pos="0" w:leader="none"/>
        </w:tabs>
      </w:pPr>
    </w:lvl>
  </w:abstractNum>
  <w:abstractNum w:abstractNumId="13">
    <w:multiLevelType w:val="hybridMultilevel"/>
    <w:lvl w:ilvl="0">
      <w:start w:val="1"/>
      <w:numFmt w:val="bullet"/>
      <w:isLgl w:val="false"/>
      <w:suff w:val="tab"/>
      <w:lvlText w:val="−"/>
      <w:lvlJc w:val="left"/>
      <w:pPr>
        <w:ind w:left="720" w:hanging="360"/>
        <w:tabs>
          <w:tab w:val="num" w:pos="0" w:leader="none"/>
        </w:tabs>
      </w:pPr>
      <w:rPr>
        <w:rFonts w:hint="default" w:ascii="Times New Roman" w:hAnsi="Times New Roman" w:cs="Times New Roman"/>
      </w:rPr>
    </w:lvl>
    <w:lvl w:ilvl="1">
      <w:start w:val="1"/>
      <w:numFmt w:val="bullet"/>
      <w:isLgl w:val="false"/>
      <w:suff w:val="tab"/>
      <w:lvlText w:val="o"/>
      <w:lvlJc w:val="left"/>
      <w:pPr>
        <w:ind w:left="1440" w:hanging="360"/>
        <w:tabs>
          <w:tab w:val="num" w:pos="0" w:leader="none"/>
        </w:tabs>
      </w:pPr>
      <w:rPr>
        <w:rFonts w:hint="default" w:ascii="Courier New" w:hAnsi="Courier New" w:cs="Courier New"/>
      </w:rPr>
    </w:lvl>
    <w:lvl w:ilvl="2">
      <w:start w:val="1"/>
      <w:numFmt w:val="bullet"/>
      <w:isLgl w:val="false"/>
      <w:suff w:val="tab"/>
      <w:lvlText w:val=""/>
      <w:lvlJc w:val="left"/>
      <w:pPr>
        <w:ind w:left="2160" w:hanging="360"/>
        <w:tabs>
          <w:tab w:val="num" w:pos="0" w:leader="none"/>
        </w:tabs>
      </w:pPr>
      <w:rPr>
        <w:rFonts w:hint="default" w:ascii="Wingdings" w:hAnsi="Wingdings" w:cs="Wingdings"/>
      </w:rPr>
    </w:lvl>
    <w:lvl w:ilvl="3">
      <w:start w:val="1"/>
      <w:numFmt w:val="bullet"/>
      <w:isLgl w:val="false"/>
      <w:suff w:val="tab"/>
      <w:lvlText w:val=""/>
      <w:lvlJc w:val="left"/>
      <w:pPr>
        <w:ind w:left="2880" w:hanging="360"/>
        <w:tabs>
          <w:tab w:val="num" w:pos="0" w:leader="none"/>
        </w:tabs>
      </w:pPr>
      <w:rPr>
        <w:rFonts w:hint="default" w:ascii="Symbol" w:hAnsi="Symbol" w:cs="Symbol"/>
      </w:rPr>
    </w:lvl>
    <w:lvl w:ilvl="4">
      <w:start w:val="1"/>
      <w:numFmt w:val="bullet"/>
      <w:isLgl w:val="false"/>
      <w:suff w:val="tab"/>
      <w:lvlText w:val="o"/>
      <w:lvlJc w:val="left"/>
      <w:pPr>
        <w:ind w:left="3600" w:hanging="360"/>
        <w:tabs>
          <w:tab w:val="num" w:pos="0" w:leader="none"/>
        </w:tabs>
      </w:pPr>
      <w:rPr>
        <w:rFonts w:hint="default" w:ascii="Courier New" w:hAnsi="Courier New" w:cs="Courier New"/>
      </w:rPr>
    </w:lvl>
    <w:lvl w:ilvl="5">
      <w:start w:val="1"/>
      <w:numFmt w:val="bullet"/>
      <w:isLgl w:val="false"/>
      <w:suff w:val="tab"/>
      <w:lvlText w:val=""/>
      <w:lvlJc w:val="left"/>
      <w:pPr>
        <w:ind w:left="4320" w:hanging="360"/>
        <w:tabs>
          <w:tab w:val="num" w:pos="0" w:leader="none"/>
        </w:tabs>
      </w:pPr>
      <w:rPr>
        <w:rFonts w:hint="default" w:ascii="Wingdings" w:hAnsi="Wingdings" w:cs="Wingdings"/>
      </w:rPr>
    </w:lvl>
    <w:lvl w:ilvl="6">
      <w:start w:val="1"/>
      <w:numFmt w:val="bullet"/>
      <w:isLgl w:val="false"/>
      <w:suff w:val="tab"/>
      <w:lvlText w:val=""/>
      <w:lvlJc w:val="left"/>
      <w:pPr>
        <w:ind w:left="5040" w:hanging="360"/>
        <w:tabs>
          <w:tab w:val="num" w:pos="0" w:leader="none"/>
        </w:tabs>
      </w:pPr>
      <w:rPr>
        <w:rFonts w:hint="default" w:ascii="Symbol" w:hAnsi="Symbol" w:cs="Symbol"/>
      </w:rPr>
    </w:lvl>
    <w:lvl w:ilvl="7">
      <w:start w:val="1"/>
      <w:numFmt w:val="bullet"/>
      <w:isLgl w:val="false"/>
      <w:suff w:val="tab"/>
      <w:lvlText w:val="o"/>
      <w:lvlJc w:val="left"/>
      <w:pPr>
        <w:ind w:left="5760" w:hanging="360"/>
        <w:tabs>
          <w:tab w:val="num" w:pos="0" w:leader="none"/>
        </w:tabs>
      </w:pPr>
      <w:rPr>
        <w:rFonts w:hint="default" w:ascii="Courier New" w:hAnsi="Courier New" w:cs="Courier New"/>
      </w:rPr>
    </w:lvl>
    <w:lvl w:ilvl="8">
      <w:start w:val="1"/>
      <w:numFmt w:val="bullet"/>
      <w:isLgl w:val="false"/>
      <w:suff w:val="tab"/>
      <w:lvlText w:val=""/>
      <w:lvlJc w:val="left"/>
      <w:pPr>
        <w:ind w:left="6480" w:hanging="360"/>
        <w:tabs>
          <w:tab w:val="num" w:pos="0" w:leader="none"/>
        </w:tabs>
      </w:pPr>
      <w:rPr>
        <w:rFonts w:hint="default" w:ascii="Wingdings" w:hAnsi="Wingdings" w:cs="Wingdings"/>
      </w:rPr>
    </w:lvl>
  </w:abstractNum>
  <w:abstractNum w:abstractNumId="14">
    <w:multiLevelType w:val="hybridMultilevel"/>
    <w:lvl w:ilvl="0">
      <w:start w:val="1"/>
      <w:numFmt w:val="bullet"/>
      <w:isLgl w:val="false"/>
      <w:suff w:val="tab"/>
      <w:lvlText w:val="−"/>
      <w:lvlJc w:val="left"/>
      <w:pPr>
        <w:ind w:left="720" w:hanging="360"/>
        <w:tabs>
          <w:tab w:val="num" w:pos="0" w:leader="none"/>
        </w:tabs>
      </w:pPr>
      <w:rPr>
        <w:rFonts w:hint="default" w:ascii="Times New Roman" w:hAnsi="Times New Roman" w:cs="Times New Roman"/>
      </w:rPr>
    </w:lvl>
    <w:lvl w:ilvl="1">
      <w:start w:val="1"/>
      <w:numFmt w:val="bullet"/>
      <w:isLgl w:val="false"/>
      <w:suff w:val="tab"/>
      <w:lvlText w:val="o"/>
      <w:lvlJc w:val="left"/>
      <w:pPr>
        <w:ind w:left="1440" w:hanging="360"/>
        <w:tabs>
          <w:tab w:val="num" w:pos="0" w:leader="none"/>
        </w:tabs>
      </w:pPr>
      <w:rPr>
        <w:rFonts w:hint="default" w:ascii="Courier New" w:hAnsi="Courier New" w:cs="Courier New"/>
      </w:rPr>
    </w:lvl>
    <w:lvl w:ilvl="2">
      <w:start w:val="1"/>
      <w:numFmt w:val="bullet"/>
      <w:isLgl w:val="false"/>
      <w:suff w:val="tab"/>
      <w:lvlText w:val=""/>
      <w:lvlJc w:val="left"/>
      <w:pPr>
        <w:ind w:left="2160" w:hanging="360"/>
        <w:tabs>
          <w:tab w:val="num" w:pos="0" w:leader="none"/>
        </w:tabs>
      </w:pPr>
      <w:rPr>
        <w:rFonts w:hint="default" w:ascii="Wingdings" w:hAnsi="Wingdings" w:cs="Wingdings"/>
      </w:rPr>
    </w:lvl>
    <w:lvl w:ilvl="3">
      <w:start w:val="1"/>
      <w:numFmt w:val="bullet"/>
      <w:isLgl w:val="false"/>
      <w:suff w:val="tab"/>
      <w:lvlText w:val=""/>
      <w:lvlJc w:val="left"/>
      <w:pPr>
        <w:ind w:left="2880" w:hanging="360"/>
        <w:tabs>
          <w:tab w:val="num" w:pos="0" w:leader="none"/>
        </w:tabs>
      </w:pPr>
      <w:rPr>
        <w:rFonts w:hint="default" w:ascii="Symbol" w:hAnsi="Symbol" w:cs="Symbol"/>
      </w:rPr>
    </w:lvl>
    <w:lvl w:ilvl="4">
      <w:start w:val="1"/>
      <w:numFmt w:val="bullet"/>
      <w:isLgl w:val="false"/>
      <w:suff w:val="tab"/>
      <w:lvlText w:val="o"/>
      <w:lvlJc w:val="left"/>
      <w:pPr>
        <w:ind w:left="3600" w:hanging="360"/>
        <w:tabs>
          <w:tab w:val="num" w:pos="0" w:leader="none"/>
        </w:tabs>
      </w:pPr>
      <w:rPr>
        <w:rFonts w:hint="default" w:ascii="Courier New" w:hAnsi="Courier New" w:cs="Courier New"/>
      </w:rPr>
    </w:lvl>
    <w:lvl w:ilvl="5">
      <w:start w:val="1"/>
      <w:numFmt w:val="bullet"/>
      <w:isLgl w:val="false"/>
      <w:suff w:val="tab"/>
      <w:lvlText w:val=""/>
      <w:lvlJc w:val="left"/>
      <w:pPr>
        <w:ind w:left="4320" w:hanging="360"/>
        <w:tabs>
          <w:tab w:val="num" w:pos="0" w:leader="none"/>
        </w:tabs>
      </w:pPr>
      <w:rPr>
        <w:rFonts w:hint="default" w:ascii="Wingdings" w:hAnsi="Wingdings" w:cs="Wingdings"/>
      </w:rPr>
    </w:lvl>
    <w:lvl w:ilvl="6">
      <w:start w:val="1"/>
      <w:numFmt w:val="bullet"/>
      <w:isLgl w:val="false"/>
      <w:suff w:val="tab"/>
      <w:lvlText w:val=""/>
      <w:lvlJc w:val="left"/>
      <w:pPr>
        <w:ind w:left="5040" w:hanging="360"/>
        <w:tabs>
          <w:tab w:val="num" w:pos="0" w:leader="none"/>
        </w:tabs>
      </w:pPr>
      <w:rPr>
        <w:rFonts w:hint="default" w:ascii="Symbol" w:hAnsi="Symbol" w:cs="Symbol"/>
      </w:rPr>
    </w:lvl>
    <w:lvl w:ilvl="7">
      <w:start w:val="1"/>
      <w:numFmt w:val="bullet"/>
      <w:isLgl w:val="false"/>
      <w:suff w:val="tab"/>
      <w:lvlText w:val="o"/>
      <w:lvlJc w:val="left"/>
      <w:pPr>
        <w:ind w:left="5760" w:hanging="360"/>
        <w:tabs>
          <w:tab w:val="num" w:pos="0" w:leader="none"/>
        </w:tabs>
      </w:pPr>
      <w:rPr>
        <w:rFonts w:hint="default" w:ascii="Courier New" w:hAnsi="Courier New" w:cs="Courier New"/>
      </w:rPr>
    </w:lvl>
    <w:lvl w:ilvl="8">
      <w:start w:val="1"/>
      <w:numFmt w:val="bullet"/>
      <w:isLgl w:val="false"/>
      <w:suff w:val="tab"/>
      <w:lvlText w:val=""/>
      <w:lvlJc w:val="left"/>
      <w:pPr>
        <w:ind w:left="6480" w:hanging="360"/>
        <w:tabs>
          <w:tab w:val="num" w:pos="0" w:leader="none"/>
        </w:tabs>
      </w:pPr>
      <w:rPr>
        <w:rFonts w:hint="default" w:ascii="Wingdings" w:hAnsi="Wingdings" w:cs="Wingdings"/>
      </w:rPr>
    </w:lvl>
  </w:abstractNum>
  <w:abstractNum w:abstractNumId="15">
    <w:multiLevelType w:val="hybridMultilevel"/>
    <w:lvl w:ilvl="0">
      <w:start w:val="1"/>
      <w:numFmt w:val="russianLower"/>
      <w:isLgl w:val="false"/>
      <w:suff w:val="tab"/>
      <w:lvlText w:val="%1)"/>
      <w:lvlJc w:val="left"/>
      <w:pPr>
        <w:ind w:left="1918" w:hanging="360"/>
        <w:tabs>
          <w:tab w:val="num" w:pos="0" w:leader="none"/>
        </w:tabs>
      </w:pPr>
    </w:lvl>
    <w:lvl w:ilvl="1">
      <w:start w:val="1"/>
      <w:numFmt w:val="lowerLetter"/>
      <w:isLgl w:val="false"/>
      <w:suff w:val="tab"/>
      <w:lvlText w:val="%2."/>
      <w:lvlJc w:val="left"/>
      <w:pPr>
        <w:ind w:left="2638" w:hanging="360"/>
        <w:tabs>
          <w:tab w:val="num" w:pos="0" w:leader="none"/>
        </w:tabs>
      </w:pPr>
    </w:lvl>
    <w:lvl w:ilvl="2">
      <w:start w:val="1"/>
      <w:numFmt w:val="lowerRoman"/>
      <w:isLgl w:val="false"/>
      <w:suff w:val="tab"/>
      <w:lvlText w:val="%3."/>
      <w:lvlJc w:val="right"/>
      <w:pPr>
        <w:ind w:left="3358" w:hanging="180"/>
        <w:tabs>
          <w:tab w:val="num" w:pos="0" w:leader="none"/>
        </w:tabs>
      </w:pPr>
    </w:lvl>
    <w:lvl w:ilvl="3">
      <w:start w:val="1"/>
      <w:numFmt w:val="decimal"/>
      <w:isLgl w:val="false"/>
      <w:suff w:val="tab"/>
      <w:lvlText w:val="%4."/>
      <w:lvlJc w:val="left"/>
      <w:pPr>
        <w:ind w:left="4078" w:hanging="360"/>
        <w:tabs>
          <w:tab w:val="num" w:pos="0" w:leader="none"/>
        </w:tabs>
      </w:pPr>
    </w:lvl>
    <w:lvl w:ilvl="4">
      <w:start w:val="1"/>
      <w:numFmt w:val="lowerLetter"/>
      <w:isLgl w:val="false"/>
      <w:suff w:val="tab"/>
      <w:lvlText w:val="%5."/>
      <w:lvlJc w:val="left"/>
      <w:pPr>
        <w:ind w:left="4798" w:hanging="360"/>
        <w:tabs>
          <w:tab w:val="num" w:pos="0" w:leader="none"/>
        </w:tabs>
      </w:pPr>
    </w:lvl>
    <w:lvl w:ilvl="5">
      <w:start w:val="1"/>
      <w:numFmt w:val="lowerRoman"/>
      <w:isLgl w:val="false"/>
      <w:suff w:val="tab"/>
      <w:lvlText w:val="%6."/>
      <w:lvlJc w:val="right"/>
      <w:pPr>
        <w:ind w:left="5518" w:hanging="180"/>
        <w:tabs>
          <w:tab w:val="num" w:pos="0" w:leader="none"/>
        </w:tabs>
      </w:pPr>
    </w:lvl>
    <w:lvl w:ilvl="6">
      <w:start w:val="1"/>
      <w:numFmt w:val="decimal"/>
      <w:isLgl w:val="false"/>
      <w:suff w:val="tab"/>
      <w:lvlText w:val="%7."/>
      <w:lvlJc w:val="left"/>
      <w:pPr>
        <w:ind w:left="6238" w:hanging="360"/>
        <w:tabs>
          <w:tab w:val="num" w:pos="0" w:leader="none"/>
        </w:tabs>
      </w:pPr>
    </w:lvl>
    <w:lvl w:ilvl="7">
      <w:start w:val="1"/>
      <w:numFmt w:val="lowerLetter"/>
      <w:isLgl w:val="false"/>
      <w:suff w:val="tab"/>
      <w:lvlText w:val="%8."/>
      <w:lvlJc w:val="left"/>
      <w:pPr>
        <w:ind w:left="6958" w:hanging="360"/>
        <w:tabs>
          <w:tab w:val="num" w:pos="0" w:leader="none"/>
        </w:tabs>
      </w:pPr>
    </w:lvl>
    <w:lvl w:ilvl="8">
      <w:start w:val="1"/>
      <w:numFmt w:val="lowerRoman"/>
      <w:isLgl w:val="false"/>
      <w:suff w:val="tab"/>
      <w:lvlText w:val="%9."/>
      <w:lvlJc w:val="right"/>
      <w:pPr>
        <w:ind w:left="7678" w:hanging="180"/>
        <w:tabs>
          <w:tab w:val="num" w:pos="0" w:leader="none"/>
        </w:tabs>
      </w:pPr>
    </w:lvl>
  </w:abstractNum>
  <w:abstractNum w:abstractNumId="16">
    <w:multiLevelType w:val="hybridMultilevel"/>
    <w:lvl w:ilvl="0">
      <w:start w:val="1"/>
      <w:numFmt w:val="bullet"/>
      <w:isLgl w:val="false"/>
      <w:suff w:val="tab"/>
      <w:lvlText w:val="−"/>
      <w:lvlJc w:val="left"/>
      <w:pPr>
        <w:ind w:left="720" w:hanging="360"/>
        <w:tabs>
          <w:tab w:val="num" w:pos="0" w:leader="none"/>
        </w:tabs>
      </w:pPr>
      <w:rPr>
        <w:rFonts w:hint="default" w:ascii="Times New Roman" w:hAnsi="Times New Roman" w:cs="Times New Roman"/>
      </w:rPr>
    </w:lvl>
    <w:lvl w:ilvl="1">
      <w:start w:val="1"/>
      <w:numFmt w:val="bullet"/>
      <w:isLgl w:val="false"/>
      <w:suff w:val="tab"/>
      <w:lvlText w:val="o"/>
      <w:lvlJc w:val="left"/>
      <w:pPr>
        <w:ind w:left="1440" w:hanging="360"/>
        <w:tabs>
          <w:tab w:val="num" w:pos="0" w:leader="none"/>
        </w:tabs>
      </w:pPr>
      <w:rPr>
        <w:rFonts w:hint="default" w:ascii="Courier New" w:hAnsi="Courier New" w:cs="Courier New"/>
      </w:rPr>
    </w:lvl>
    <w:lvl w:ilvl="2">
      <w:start w:val="1"/>
      <w:numFmt w:val="bullet"/>
      <w:isLgl w:val="false"/>
      <w:suff w:val="tab"/>
      <w:lvlText w:val=""/>
      <w:lvlJc w:val="left"/>
      <w:pPr>
        <w:ind w:left="2160" w:hanging="360"/>
        <w:tabs>
          <w:tab w:val="num" w:pos="0" w:leader="none"/>
        </w:tabs>
      </w:pPr>
      <w:rPr>
        <w:rFonts w:hint="default" w:ascii="Wingdings" w:hAnsi="Wingdings" w:cs="Wingdings"/>
      </w:rPr>
    </w:lvl>
    <w:lvl w:ilvl="3">
      <w:start w:val="1"/>
      <w:numFmt w:val="bullet"/>
      <w:isLgl w:val="false"/>
      <w:suff w:val="tab"/>
      <w:lvlText w:val=""/>
      <w:lvlJc w:val="left"/>
      <w:pPr>
        <w:ind w:left="2880" w:hanging="360"/>
        <w:tabs>
          <w:tab w:val="num" w:pos="0" w:leader="none"/>
        </w:tabs>
      </w:pPr>
      <w:rPr>
        <w:rFonts w:hint="default" w:ascii="Symbol" w:hAnsi="Symbol" w:cs="Symbol"/>
      </w:rPr>
    </w:lvl>
    <w:lvl w:ilvl="4">
      <w:start w:val="1"/>
      <w:numFmt w:val="bullet"/>
      <w:isLgl w:val="false"/>
      <w:suff w:val="tab"/>
      <w:lvlText w:val="o"/>
      <w:lvlJc w:val="left"/>
      <w:pPr>
        <w:ind w:left="3600" w:hanging="360"/>
        <w:tabs>
          <w:tab w:val="num" w:pos="0" w:leader="none"/>
        </w:tabs>
      </w:pPr>
      <w:rPr>
        <w:rFonts w:hint="default" w:ascii="Courier New" w:hAnsi="Courier New" w:cs="Courier New"/>
      </w:rPr>
    </w:lvl>
    <w:lvl w:ilvl="5">
      <w:start w:val="1"/>
      <w:numFmt w:val="bullet"/>
      <w:isLgl w:val="false"/>
      <w:suff w:val="tab"/>
      <w:lvlText w:val=""/>
      <w:lvlJc w:val="left"/>
      <w:pPr>
        <w:ind w:left="4320" w:hanging="360"/>
        <w:tabs>
          <w:tab w:val="num" w:pos="0" w:leader="none"/>
        </w:tabs>
      </w:pPr>
      <w:rPr>
        <w:rFonts w:hint="default" w:ascii="Wingdings" w:hAnsi="Wingdings" w:cs="Wingdings"/>
      </w:rPr>
    </w:lvl>
    <w:lvl w:ilvl="6">
      <w:start w:val="1"/>
      <w:numFmt w:val="bullet"/>
      <w:isLgl w:val="false"/>
      <w:suff w:val="tab"/>
      <w:lvlText w:val=""/>
      <w:lvlJc w:val="left"/>
      <w:pPr>
        <w:ind w:left="5040" w:hanging="360"/>
        <w:tabs>
          <w:tab w:val="num" w:pos="0" w:leader="none"/>
        </w:tabs>
      </w:pPr>
      <w:rPr>
        <w:rFonts w:hint="default" w:ascii="Symbol" w:hAnsi="Symbol" w:cs="Symbol"/>
      </w:rPr>
    </w:lvl>
    <w:lvl w:ilvl="7">
      <w:start w:val="1"/>
      <w:numFmt w:val="bullet"/>
      <w:isLgl w:val="false"/>
      <w:suff w:val="tab"/>
      <w:lvlText w:val="o"/>
      <w:lvlJc w:val="left"/>
      <w:pPr>
        <w:ind w:left="5760" w:hanging="360"/>
        <w:tabs>
          <w:tab w:val="num" w:pos="0" w:leader="none"/>
        </w:tabs>
      </w:pPr>
      <w:rPr>
        <w:rFonts w:hint="default" w:ascii="Courier New" w:hAnsi="Courier New" w:cs="Courier New"/>
      </w:rPr>
    </w:lvl>
    <w:lvl w:ilvl="8">
      <w:start w:val="1"/>
      <w:numFmt w:val="bullet"/>
      <w:isLgl w:val="false"/>
      <w:suff w:val="tab"/>
      <w:lvlText w:val=""/>
      <w:lvlJc w:val="left"/>
      <w:pPr>
        <w:ind w:left="6480" w:hanging="360"/>
        <w:tabs>
          <w:tab w:val="num" w:pos="0" w:leader="none"/>
        </w:tabs>
      </w:pPr>
      <w:rPr>
        <w:rFonts w:hint="default" w:ascii="Wingdings" w:hAnsi="Wingdings" w:cs="Wingdings"/>
      </w:rPr>
    </w:lvl>
  </w:abstractNum>
  <w:abstractNum w:abstractNumId="17">
    <w:multiLevelType w:val="hybridMultilevel"/>
    <w:lvl w:ilvl="0">
      <w:start w:val="1"/>
      <w:numFmt w:val="decimal"/>
      <w:pStyle w:val="1363"/>
      <w:isLgl w:val="false"/>
      <w:suff w:val="tab"/>
      <w:lvlText w:val="%1."/>
      <w:lvlJc w:val="left"/>
      <w:pPr>
        <w:ind w:left="0" w:firstLine="0"/>
        <w:tabs>
          <w:tab w:val="num" w:pos="851" w:leader="none"/>
        </w:tabs>
      </w:pPr>
    </w:lvl>
    <w:lvl w:ilvl="1">
      <w:start w:val="1"/>
      <w:numFmt w:val="decimal"/>
      <w:pStyle w:val="1364"/>
      <w:isLgl w:val="false"/>
      <w:suff w:val="tab"/>
      <w:lvlText w:val="%1.%2."/>
      <w:lvlJc w:val="left"/>
      <w:pPr>
        <w:ind w:left="1418" w:hanging="1418"/>
        <w:tabs>
          <w:tab w:val="num" w:pos="0" w:leader="none"/>
        </w:tabs>
      </w:pPr>
      <w:rPr>
        <w:rFonts w:ascii="Times New Roman" w:hAnsi="Times New Roman" w:cs="Times New Roman"/>
        <w:b/>
        <w:bCs/>
        <w:i w:val="0"/>
        <w:iCs w:val="0"/>
        <w:caps w:val="0"/>
        <w:smallCaps w:val="0"/>
        <w:strike w:val="0"/>
        <w:vanish w:val="0"/>
        <w:color w:val="000000"/>
        <w:spacing w:val="0"/>
        <w:position w:val="0"/>
        <w:sz w:val="28"/>
        <w:szCs w:val="28"/>
        <w:u w:val="none"/>
        <w:vertAlign w:val="baseline"/>
        <w14:textOutline w14:w="0" w14:cap="rnd" w14:cmpd="sng" w14:algn="ctr">
          <w14:noFill/>
          <w14:prstDash w14:val="solid"/>
          <w14:bevel/>
        </w14:textOutline>
      </w:rPr>
    </w:lvl>
    <w:lvl w:ilvl="2">
      <w:start w:val="1"/>
      <w:numFmt w:val="decimal"/>
      <w:pStyle w:val="1367"/>
      <w:isLgl w:val="false"/>
      <w:suff w:val="tab"/>
      <w:lvlText w:val="%1.%2.%3."/>
      <w:lvlJc w:val="left"/>
      <w:pPr>
        <w:ind w:left="1418" w:hanging="1418"/>
        <w:tabs>
          <w:tab w:val="num" w:pos="1701" w:leader="none"/>
        </w:tabs>
      </w:pPr>
      <w:rPr>
        <w:b w:val="0"/>
        <w:bCs/>
        <w:sz w:val="28"/>
        <w:szCs w:val="28"/>
      </w:rPr>
    </w:lvl>
    <w:lvl w:ilvl="3">
      <w:start w:val="1"/>
      <w:numFmt w:val="decimal"/>
      <w:isLgl w:val="false"/>
      <w:suff w:val="tab"/>
      <w:lvlText w:val="%1.%2.%3.%4."/>
      <w:lvlJc w:val="left"/>
      <w:pPr>
        <w:ind w:left="1418" w:hanging="1418"/>
        <w:tabs>
          <w:tab w:val="num" w:pos="1701" w:leader="none"/>
        </w:tabs>
      </w:pPr>
      <w:rPr>
        <w:rFonts w:ascii="Times New Roman" w:hAnsi="Times New Roman" w:cs="Times New Roman"/>
        <w:b w:val="0"/>
        <w:bCs/>
        <w:i w:val="0"/>
        <w:iCs w:val="0"/>
        <w:caps w:val="0"/>
        <w:smallCaps w:val="0"/>
        <w:strike w:val="0"/>
        <w:vanish w:val="0"/>
        <w:color w:val="000000"/>
        <w:spacing w:val="0"/>
        <w:position w:val="0"/>
        <w:sz w:val="28"/>
        <w:szCs w:val="28"/>
        <w:u w:val="none"/>
        <w:vertAlign w:val="baseline"/>
        <w14:textOutline w14:w="0" w14:cap="rnd" w14:cmpd="sng" w14:algn="ctr">
          <w14:noFill/>
          <w14:prstDash w14:val="solid"/>
          <w14:bevel/>
        </w14:textOutline>
      </w:rPr>
    </w:lvl>
    <w:lvl w:ilvl="4">
      <w:start w:val="1"/>
      <w:numFmt w:val="russianLower"/>
      <w:pStyle w:val="1365"/>
      <w:isLgl w:val="false"/>
      <w:suff w:val="tab"/>
      <w:lvlText w:val="%5)"/>
      <w:lvlJc w:val="left"/>
      <w:pPr>
        <w:ind w:left="1985" w:hanging="567"/>
        <w:tabs>
          <w:tab w:val="num" w:pos="1985" w:leader="none"/>
        </w:tabs>
      </w:pPr>
      <w:rPr>
        <w:rFonts w:ascii="Times New Roman" w:hAnsi="Times New Roman" w:cs="Times New Roman"/>
        <w:b w:val="0"/>
        <w:bCs w:val="0"/>
        <w:i w:val="0"/>
        <w:iCs w:val="0"/>
        <w:caps w:val="0"/>
        <w:smallCaps w:val="0"/>
        <w:strike w:val="0"/>
        <w:vanish w:val="0"/>
        <w:spacing w:val="0"/>
        <w:position w:val="0"/>
        <w:sz w:val="26"/>
        <w:u w:val="none"/>
        <w:vertAlign w:val="baseline"/>
        <w14:textOutline w14:w="0" w14:cap="rnd" w14:cmpd="sng" w14:algn="ctr">
          <w14:noFill/>
          <w14:prstDash w14:val="solid"/>
          <w14:bevel/>
        </w14:textOutline>
        <w14:ligatures w14:val="none"/>
      </w:rPr>
    </w:lvl>
    <w:lvl w:ilvl="5">
      <w:start w:val="1"/>
      <w:numFmt w:val="bullet"/>
      <w:pStyle w:val="1366"/>
      <w:isLgl w:val="false"/>
      <w:suff w:val="tab"/>
      <w:lvlText w:val=""/>
      <w:lvlJc w:val="left"/>
      <w:pPr>
        <w:ind w:left="1985" w:hanging="567"/>
        <w:tabs>
          <w:tab w:val="num" w:pos="1985" w:leader="none"/>
        </w:tabs>
      </w:pPr>
      <w:rPr>
        <w:rFonts w:hint="default" w:ascii="Symbol" w:hAnsi="Symbol" w:cs="Symbol"/>
      </w:rPr>
    </w:lvl>
    <w:lvl w:ilvl="6">
      <w:start w:val="1"/>
      <w:numFmt w:val="bullet"/>
      <w:isLgl w:val="false"/>
      <w:suff w:val="tab"/>
      <w:lvlText w:val=""/>
      <w:lvlJc w:val="left"/>
      <w:pPr>
        <w:ind w:left="5040" w:hanging="360"/>
        <w:tabs>
          <w:tab w:val="num" w:pos="0" w:leader="none"/>
        </w:tabs>
      </w:pPr>
      <w:rPr>
        <w:rFonts w:hint="default" w:ascii="Wingdings" w:hAnsi="Wingdings" w:cs="Wingdings"/>
      </w:rPr>
    </w:lvl>
    <w:lvl w:ilvl="7">
      <w:start w:val="1"/>
      <w:numFmt w:val="lowerLetter"/>
      <w:isLgl w:val="false"/>
      <w:suff w:val="tab"/>
      <w:lvlText w:val="%8."/>
      <w:lvlJc w:val="left"/>
      <w:pPr>
        <w:ind w:left="5760" w:hanging="360"/>
        <w:tabs>
          <w:tab w:val="num" w:pos="0" w:leader="none"/>
        </w:tabs>
      </w:pPr>
    </w:lvl>
    <w:lvl w:ilvl="8">
      <w:start w:val="1"/>
      <w:numFmt w:val="lowerRoman"/>
      <w:isLgl w:val="false"/>
      <w:suff w:val="tab"/>
      <w:lvlText w:val="%9."/>
      <w:lvlJc w:val="right"/>
      <w:pPr>
        <w:ind w:left="6480" w:hanging="180"/>
        <w:tabs>
          <w:tab w:val="num" w:pos="0" w:leader="none"/>
        </w:tabs>
      </w:pPr>
    </w:lvl>
  </w:abstractNum>
  <w:abstractNum w:abstractNumId="18">
    <w:multiLevelType w:val="hybridMultilevel"/>
    <w:lvl w:ilvl="0">
      <w:start w:val="1"/>
      <w:numFmt w:val="decimal"/>
      <w:isLgl w:val="false"/>
      <w:suff w:val="tab"/>
      <w:lvlText w:val="%1)"/>
      <w:lvlJc w:val="left"/>
      <w:pPr>
        <w:ind w:left="2705" w:hanging="360"/>
        <w:tabs>
          <w:tab w:val="num" w:pos="0" w:leader="none"/>
        </w:tabs>
      </w:pPr>
    </w:lvl>
    <w:lvl w:ilvl="1">
      <w:start w:val="1"/>
      <w:numFmt w:val="lowerLetter"/>
      <w:isLgl w:val="false"/>
      <w:suff w:val="tab"/>
      <w:lvlText w:val="%2."/>
      <w:lvlJc w:val="left"/>
      <w:pPr>
        <w:ind w:left="3425" w:hanging="360"/>
        <w:tabs>
          <w:tab w:val="num" w:pos="0" w:leader="none"/>
        </w:tabs>
      </w:pPr>
    </w:lvl>
    <w:lvl w:ilvl="2">
      <w:start w:val="1"/>
      <w:numFmt w:val="lowerRoman"/>
      <w:isLgl w:val="false"/>
      <w:suff w:val="tab"/>
      <w:lvlText w:val="%3."/>
      <w:lvlJc w:val="right"/>
      <w:pPr>
        <w:ind w:left="4145" w:hanging="180"/>
        <w:tabs>
          <w:tab w:val="num" w:pos="0" w:leader="none"/>
        </w:tabs>
      </w:pPr>
    </w:lvl>
    <w:lvl w:ilvl="3">
      <w:start w:val="1"/>
      <w:numFmt w:val="decimal"/>
      <w:isLgl w:val="false"/>
      <w:suff w:val="tab"/>
      <w:lvlText w:val="%4."/>
      <w:lvlJc w:val="left"/>
      <w:pPr>
        <w:ind w:left="4865" w:hanging="360"/>
        <w:tabs>
          <w:tab w:val="num" w:pos="0" w:leader="none"/>
        </w:tabs>
      </w:pPr>
    </w:lvl>
    <w:lvl w:ilvl="4">
      <w:start w:val="1"/>
      <w:numFmt w:val="lowerLetter"/>
      <w:isLgl w:val="false"/>
      <w:suff w:val="tab"/>
      <w:lvlText w:val="%5."/>
      <w:lvlJc w:val="left"/>
      <w:pPr>
        <w:ind w:left="5585" w:hanging="360"/>
        <w:tabs>
          <w:tab w:val="num" w:pos="0" w:leader="none"/>
        </w:tabs>
      </w:pPr>
    </w:lvl>
    <w:lvl w:ilvl="5">
      <w:start w:val="1"/>
      <w:numFmt w:val="lowerRoman"/>
      <w:isLgl w:val="false"/>
      <w:suff w:val="tab"/>
      <w:lvlText w:val="%6."/>
      <w:lvlJc w:val="right"/>
      <w:pPr>
        <w:ind w:left="6305" w:hanging="180"/>
        <w:tabs>
          <w:tab w:val="num" w:pos="0" w:leader="none"/>
        </w:tabs>
      </w:pPr>
    </w:lvl>
    <w:lvl w:ilvl="6">
      <w:start w:val="1"/>
      <w:numFmt w:val="decimal"/>
      <w:isLgl w:val="false"/>
      <w:suff w:val="tab"/>
      <w:lvlText w:val="%7."/>
      <w:lvlJc w:val="left"/>
      <w:pPr>
        <w:ind w:left="7025" w:hanging="360"/>
        <w:tabs>
          <w:tab w:val="num" w:pos="0" w:leader="none"/>
        </w:tabs>
      </w:pPr>
    </w:lvl>
    <w:lvl w:ilvl="7">
      <w:start w:val="1"/>
      <w:numFmt w:val="lowerLetter"/>
      <w:isLgl w:val="false"/>
      <w:suff w:val="tab"/>
      <w:lvlText w:val="%8."/>
      <w:lvlJc w:val="left"/>
      <w:pPr>
        <w:ind w:left="7745" w:hanging="360"/>
        <w:tabs>
          <w:tab w:val="num" w:pos="0" w:leader="none"/>
        </w:tabs>
      </w:pPr>
    </w:lvl>
    <w:lvl w:ilvl="8">
      <w:start w:val="1"/>
      <w:numFmt w:val="lowerRoman"/>
      <w:isLgl w:val="false"/>
      <w:suff w:val="tab"/>
      <w:lvlText w:val="%9."/>
      <w:lvlJc w:val="right"/>
      <w:pPr>
        <w:ind w:left="8465" w:hanging="180"/>
        <w:tabs>
          <w:tab w:val="num" w:pos="0" w:leader="none"/>
        </w:tabs>
      </w:pPr>
    </w:lvl>
  </w:abstractNum>
  <w:abstractNum w:abstractNumId="19">
    <w:multiLevelType w:val="hybridMultilevel"/>
    <w:lvl w:ilvl="0">
      <w:start w:val="1"/>
      <w:numFmt w:val="bullet"/>
      <w:isLgl w:val="false"/>
      <w:suff w:val="tab"/>
      <w:lvlText w:val=""/>
      <w:lvlJc w:val="left"/>
      <w:pPr>
        <w:ind w:left="2705" w:hanging="360"/>
        <w:tabs>
          <w:tab w:val="num" w:pos="0" w:leader="none"/>
        </w:tabs>
      </w:pPr>
      <w:rPr>
        <w:rFonts w:hint="default" w:ascii="Symbol" w:hAnsi="Symbol" w:cs="Symbol"/>
      </w:rPr>
    </w:lvl>
    <w:lvl w:ilvl="1">
      <w:start w:val="1"/>
      <w:numFmt w:val="lowerLetter"/>
      <w:isLgl w:val="false"/>
      <w:suff w:val="tab"/>
      <w:lvlText w:val="%2."/>
      <w:lvlJc w:val="left"/>
      <w:pPr>
        <w:ind w:left="3425" w:hanging="360"/>
        <w:tabs>
          <w:tab w:val="num" w:pos="0" w:leader="none"/>
        </w:tabs>
      </w:pPr>
    </w:lvl>
    <w:lvl w:ilvl="2">
      <w:start w:val="1"/>
      <w:numFmt w:val="lowerRoman"/>
      <w:isLgl w:val="false"/>
      <w:suff w:val="tab"/>
      <w:lvlText w:val="%3."/>
      <w:lvlJc w:val="right"/>
      <w:pPr>
        <w:ind w:left="4145" w:hanging="180"/>
        <w:tabs>
          <w:tab w:val="num" w:pos="0" w:leader="none"/>
        </w:tabs>
      </w:pPr>
    </w:lvl>
    <w:lvl w:ilvl="3">
      <w:start w:val="1"/>
      <w:numFmt w:val="decimal"/>
      <w:isLgl w:val="false"/>
      <w:suff w:val="tab"/>
      <w:lvlText w:val="%4."/>
      <w:lvlJc w:val="left"/>
      <w:pPr>
        <w:ind w:left="4865" w:hanging="360"/>
        <w:tabs>
          <w:tab w:val="num" w:pos="0" w:leader="none"/>
        </w:tabs>
      </w:pPr>
    </w:lvl>
    <w:lvl w:ilvl="4">
      <w:start w:val="1"/>
      <w:numFmt w:val="lowerLetter"/>
      <w:isLgl w:val="false"/>
      <w:suff w:val="tab"/>
      <w:lvlText w:val="%5."/>
      <w:lvlJc w:val="left"/>
      <w:pPr>
        <w:ind w:left="5585" w:hanging="360"/>
        <w:tabs>
          <w:tab w:val="num" w:pos="0" w:leader="none"/>
        </w:tabs>
      </w:pPr>
    </w:lvl>
    <w:lvl w:ilvl="5">
      <w:start w:val="1"/>
      <w:numFmt w:val="lowerRoman"/>
      <w:isLgl w:val="false"/>
      <w:suff w:val="tab"/>
      <w:lvlText w:val="%6."/>
      <w:lvlJc w:val="right"/>
      <w:pPr>
        <w:ind w:left="6305" w:hanging="180"/>
        <w:tabs>
          <w:tab w:val="num" w:pos="0" w:leader="none"/>
        </w:tabs>
      </w:pPr>
    </w:lvl>
    <w:lvl w:ilvl="6">
      <w:start w:val="1"/>
      <w:numFmt w:val="decimal"/>
      <w:isLgl w:val="false"/>
      <w:suff w:val="tab"/>
      <w:lvlText w:val="%7."/>
      <w:lvlJc w:val="left"/>
      <w:pPr>
        <w:ind w:left="7025" w:hanging="360"/>
        <w:tabs>
          <w:tab w:val="num" w:pos="0" w:leader="none"/>
        </w:tabs>
      </w:pPr>
    </w:lvl>
    <w:lvl w:ilvl="7">
      <w:start w:val="1"/>
      <w:numFmt w:val="lowerLetter"/>
      <w:isLgl w:val="false"/>
      <w:suff w:val="tab"/>
      <w:lvlText w:val="%8."/>
      <w:lvlJc w:val="left"/>
      <w:pPr>
        <w:ind w:left="7745" w:hanging="360"/>
        <w:tabs>
          <w:tab w:val="num" w:pos="0" w:leader="none"/>
        </w:tabs>
      </w:pPr>
    </w:lvl>
    <w:lvl w:ilvl="8">
      <w:start w:val="1"/>
      <w:numFmt w:val="lowerRoman"/>
      <w:isLgl w:val="false"/>
      <w:suff w:val="tab"/>
      <w:lvlText w:val="%9."/>
      <w:lvlJc w:val="right"/>
      <w:pPr>
        <w:ind w:left="8465" w:hanging="180"/>
        <w:tabs>
          <w:tab w:val="num" w:pos="0" w:leader="none"/>
        </w:tabs>
      </w:pPr>
    </w:lvl>
  </w:abstractNum>
  <w:abstractNum w:abstractNumId="20">
    <w:multiLevelType w:val="hybridMultilevel"/>
    <w:lvl w:ilvl="0">
      <w:start w:val="1"/>
      <w:numFmt w:val="decimal"/>
      <w:isLgl w:val="false"/>
      <w:suff w:val="tab"/>
      <w:lvlText w:val="%1."/>
      <w:lvlJc w:val="left"/>
      <w:pPr>
        <w:ind w:left="1134" w:hanging="1134"/>
        <w:tabs>
          <w:tab w:val="num" w:pos="0" w:leader="none"/>
        </w:tabs>
      </w:pPr>
      <w:rPr>
        <w:rFonts w:cs="Times New Roman"/>
      </w:rPr>
    </w:lvl>
    <w:lvl w:ilvl="1">
      <w:start w:val="1"/>
      <w:numFmt w:val="decimal"/>
      <w:isLgl w:val="false"/>
      <w:suff w:val="tab"/>
      <w:lvlText w:val="%1.%2."/>
      <w:lvlJc w:val="left"/>
      <w:pPr>
        <w:ind w:left="1134" w:hanging="1134"/>
        <w:tabs>
          <w:tab w:val="num" w:pos="0" w:leader="none"/>
        </w:tabs>
      </w:pPr>
      <w:rPr>
        <w:rFonts w:cs="Times New Roman"/>
      </w:rPr>
    </w:lvl>
    <w:lvl w:ilvl="2">
      <w:start w:val="1"/>
      <w:numFmt w:val="decimal"/>
      <w:isLgl w:val="false"/>
      <w:suff w:val="tab"/>
      <w:lvlText w:val="%1.%2.%3."/>
      <w:lvlJc w:val="left"/>
      <w:pPr>
        <w:ind w:left="1134" w:hanging="1134"/>
        <w:tabs>
          <w:tab w:val="num" w:pos="0" w:leader="none"/>
        </w:tabs>
      </w:pPr>
      <w:rPr>
        <w:rFonts w:cs="Times New Roman"/>
      </w:rPr>
    </w:lvl>
    <w:lvl w:ilvl="3">
      <w:start w:val="1"/>
      <w:numFmt w:val="russianLower"/>
      <w:isLgl w:val="false"/>
      <w:suff w:val="tab"/>
      <w:lvlText w:val="(%4)"/>
      <w:lvlJc w:val="left"/>
      <w:pPr>
        <w:ind w:left="1701" w:hanging="567"/>
        <w:tabs>
          <w:tab w:val="num" w:pos="0" w:leader="none"/>
        </w:tabs>
      </w:pPr>
      <w:rPr>
        <w:rFonts w:cs="Times New Roman"/>
      </w:rPr>
    </w:lvl>
    <w:lvl w:ilvl="4">
      <w:start w:val="1"/>
      <w:numFmt w:val="bullet"/>
      <w:isLgl w:val="false"/>
      <w:suff w:val="tab"/>
      <w:lvlText w:val="–"/>
      <w:lvlJc w:val="left"/>
      <w:pPr>
        <w:ind w:left="2268" w:hanging="567"/>
        <w:tabs>
          <w:tab w:val="num" w:pos="0" w:leader="none"/>
        </w:tabs>
      </w:pPr>
      <w:rPr>
        <w:rFonts w:hint="default" w:ascii="Times New Roman" w:hAnsi="Times New Roman" w:cs="Times New Roman"/>
      </w:rPr>
    </w:lvl>
    <w:lvl w:ilvl="5">
      <w:start w:val="1"/>
      <w:numFmt w:val="none"/>
      <w:isLgl w:val="false"/>
      <w:suff w:val="nothing"/>
      <w:lvlText w:val=""/>
      <w:lvlJc w:val="left"/>
      <w:pPr>
        <w:ind w:left="1134" w:firstLine="0"/>
        <w:tabs>
          <w:tab w:val="num" w:pos="0" w:leader="none"/>
        </w:tabs>
      </w:pPr>
      <w:rPr>
        <w:rFonts w:cs="Times New Roman"/>
      </w:rPr>
    </w:lvl>
    <w:lvl w:ilvl="6">
      <w:start w:val="1"/>
      <w:numFmt w:val="none"/>
      <w:isLgl w:val="false"/>
      <w:suff w:val="nothing"/>
      <w:lvlText w:val=""/>
      <w:lvlJc w:val="left"/>
      <w:pPr>
        <w:ind w:left="1701" w:firstLine="0"/>
        <w:tabs>
          <w:tab w:val="num" w:pos="0" w:leader="none"/>
        </w:tabs>
      </w:pPr>
      <w:rPr>
        <w:rFonts w:cs="Times New Roman"/>
      </w:rPr>
    </w:lvl>
    <w:lvl w:ilvl="7">
      <w:start w:val="1"/>
      <w:numFmt w:val="none"/>
      <w:isLgl w:val="false"/>
      <w:suff w:val="nothing"/>
      <w:lvlText w:val=""/>
      <w:lvlJc w:val="left"/>
      <w:pPr>
        <w:ind w:left="0" w:firstLine="0"/>
        <w:tabs>
          <w:tab w:val="num" w:pos="0" w:leader="none"/>
        </w:tabs>
      </w:pPr>
      <w:rPr>
        <w:rFonts w:cs="Times New Roman"/>
      </w:rPr>
    </w:lvl>
    <w:lvl w:ilvl="8">
      <w:start w:val="1"/>
      <w:numFmt w:val="none"/>
      <w:isLgl w:val="false"/>
      <w:suff w:val="nothing"/>
      <w:lvlText w:val=""/>
      <w:lvlJc w:val="left"/>
      <w:pPr>
        <w:ind w:left="1134" w:firstLine="0"/>
        <w:tabs>
          <w:tab w:val="num" w:pos="0" w:leader="none"/>
        </w:tabs>
      </w:pPr>
      <w:rPr>
        <w:rFonts w:cs="Times New Roman"/>
      </w:rPr>
    </w:lvl>
  </w:abstractNum>
  <w:abstractNum w:abstractNumId="21">
    <w:multiLevelType w:val="hybridMultilevel"/>
    <w:lvl w:ilvl="0">
      <w:start w:val="1"/>
      <w:numFmt w:val="decimal"/>
      <w:isLgl w:val="false"/>
      <w:suff w:val="tab"/>
      <w:lvlText w:val="%1."/>
      <w:lvlJc w:val="left"/>
      <w:pPr>
        <w:ind w:left="1134" w:hanging="1134"/>
        <w:tabs>
          <w:tab w:val="num" w:pos="0" w:leader="none"/>
        </w:tabs>
      </w:pPr>
      <w:rPr>
        <w:rFonts w:cs="Times New Roman"/>
      </w:rPr>
    </w:lvl>
    <w:lvl w:ilvl="1">
      <w:start w:val="1"/>
      <w:numFmt w:val="decimal"/>
      <w:isLgl w:val="false"/>
      <w:suff w:val="tab"/>
      <w:lvlText w:val="%1.%2."/>
      <w:lvlJc w:val="left"/>
      <w:pPr>
        <w:ind w:left="1134" w:hanging="1134"/>
        <w:tabs>
          <w:tab w:val="num" w:pos="0" w:leader="none"/>
        </w:tabs>
      </w:pPr>
      <w:rPr>
        <w:rFonts w:cs="Times New Roman"/>
      </w:rPr>
    </w:lvl>
    <w:lvl w:ilvl="2">
      <w:start w:val="1"/>
      <w:numFmt w:val="decimal"/>
      <w:isLgl w:val="false"/>
      <w:suff w:val="tab"/>
      <w:lvlText w:val="%1.%2.%3."/>
      <w:lvlJc w:val="left"/>
      <w:pPr>
        <w:ind w:left="1134" w:hanging="1134"/>
        <w:tabs>
          <w:tab w:val="num" w:pos="0" w:leader="none"/>
        </w:tabs>
      </w:pPr>
      <w:rPr>
        <w:rFonts w:cs="Times New Roman"/>
      </w:rPr>
    </w:lvl>
    <w:lvl w:ilvl="3">
      <w:start w:val="1"/>
      <w:numFmt w:val="russianLower"/>
      <w:isLgl w:val="false"/>
      <w:suff w:val="tab"/>
      <w:lvlText w:val="(%4)"/>
      <w:lvlJc w:val="left"/>
      <w:pPr>
        <w:ind w:left="1701" w:hanging="567"/>
        <w:tabs>
          <w:tab w:val="num" w:pos="0" w:leader="none"/>
        </w:tabs>
      </w:pPr>
      <w:rPr>
        <w:rFonts w:cs="Times New Roman"/>
      </w:rPr>
    </w:lvl>
    <w:lvl w:ilvl="4">
      <w:start w:val="1"/>
      <w:numFmt w:val="bullet"/>
      <w:isLgl w:val="false"/>
      <w:suff w:val="tab"/>
      <w:lvlText w:val="–"/>
      <w:lvlJc w:val="left"/>
      <w:pPr>
        <w:ind w:left="2268" w:hanging="567"/>
        <w:tabs>
          <w:tab w:val="num" w:pos="0" w:leader="none"/>
        </w:tabs>
      </w:pPr>
      <w:rPr>
        <w:rFonts w:hint="default" w:ascii="Times New Roman" w:hAnsi="Times New Roman" w:cs="Times New Roman"/>
      </w:rPr>
    </w:lvl>
    <w:lvl w:ilvl="5">
      <w:start w:val="1"/>
      <w:numFmt w:val="none"/>
      <w:isLgl w:val="false"/>
      <w:suff w:val="nothing"/>
      <w:lvlText w:val=""/>
      <w:lvlJc w:val="left"/>
      <w:pPr>
        <w:ind w:left="1134" w:firstLine="0"/>
        <w:tabs>
          <w:tab w:val="num" w:pos="0" w:leader="none"/>
        </w:tabs>
      </w:pPr>
      <w:rPr>
        <w:rFonts w:cs="Times New Roman"/>
      </w:rPr>
    </w:lvl>
    <w:lvl w:ilvl="6">
      <w:start w:val="1"/>
      <w:numFmt w:val="none"/>
      <w:isLgl w:val="false"/>
      <w:suff w:val="nothing"/>
      <w:lvlText w:val=""/>
      <w:lvlJc w:val="left"/>
      <w:pPr>
        <w:ind w:left="1701" w:firstLine="0"/>
        <w:tabs>
          <w:tab w:val="num" w:pos="0" w:leader="none"/>
        </w:tabs>
      </w:pPr>
      <w:rPr>
        <w:rFonts w:cs="Times New Roman"/>
      </w:rPr>
    </w:lvl>
    <w:lvl w:ilvl="7">
      <w:start w:val="1"/>
      <w:numFmt w:val="none"/>
      <w:isLgl w:val="false"/>
      <w:suff w:val="nothing"/>
      <w:lvlText w:val=""/>
      <w:lvlJc w:val="left"/>
      <w:pPr>
        <w:ind w:left="0" w:firstLine="0"/>
        <w:tabs>
          <w:tab w:val="num" w:pos="0" w:leader="none"/>
        </w:tabs>
      </w:pPr>
      <w:rPr>
        <w:rFonts w:cs="Times New Roman"/>
      </w:rPr>
    </w:lvl>
    <w:lvl w:ilvl="8">
      <w:start w:val="1"/>
      <w:numFmt w:val="none"/>
      <w:isLgl w:val="false"/>
      <w:suff w:val="nothing"/>
      <w:lvlText w:val=""/>
      <w:lvlJc w:val="left"/>
      <w:pPr>
        <w:ind w:left="1134" w:firstLine="0"/>
        <w:tabs>
          <w:tab w:val="num" w:pos="0" w:leader="none"/>
        </w:tabs>
      </w:pPr>
      <w:rPr>
        <w:rFonts w:cs="Times New Roman"/>
      </w:rPr>
    </w:lvl>
  </w:abstractNum>
  <w:abstractNum w:abstractNumId="22">
    <w:multiLevelType w:val="hybridMultilevel"/>
    <w:lvl w:ilvl="0">
      <w:start w:val="1"/>
      <w:numFmt w:val="decimal"/>
      <w:isLgl w:val="false"/>
      <w:suff w:val="tab"/>
      <w:lvlText w:val="%1."/>
      <w:lvlJc w:val="left"/>
      <w:pPr>
        <w:ind w:left="1134" w:hanging="1134"/>
        <w:tabs>
          <w:tab w:val="num" w:pos="0" w:leader="none"/>
        </w:tabs>
      </w:pPr>
      <w:rPr>
        <w:rFonts w:cs="Times New Roman"/>
      </w:rPr>
    </w:lvl>
    <w:lvl w:ilvl="1">
      <w:start w:val="1"/>
      <w:numFmt w:val="decimal"/>
      <w:isLgl w:val="false"/>
      <w:suff w:val="tab"/>
      <w:lvlText w:val="%1.%2."/>
      <w:lvlJc w:val="left"/>
      <w:pPr>
        <w:ind w:left="1134" w:hanging="1134"/>
        <w:tabs>
          <w:tab w:val="num" w:pos="0" w:leader="none"/>
        </w:tabs>
      </w:pPr>
      <w:rPr>
        <w:rFonts w:cs="Times New Roman"/>
      </w:rPr>
    </w:lvl>
    <w:lvl w:ilvl="2">
      <w:start w:val="1"/>
      <w:numFmt w:val="decimal"/>
      <w:isLgl w:val="false"/>
      <w:suff w:val="tab"/>
      <w:lvlText w:val="%1.%2.%3."/>
      <w:lvlJc w:val="left"/>
      <w:pPr>
        <w:ind w:left="1134" w:hanging="1134"/>
        <w:tabs>
          <w:tab w:val="num" w:pos="0" w:leader="none"/>
        </w:tabs>
      </w:pPr>
      <w:rPr>
        <w:rFonts w:cs="Times New Roman"/>
      </w:rPr>
    </w:lvl>
    <w:lvl w:ilvl="3">
      <w:start w:val="1"/>
      <w:numFmt w:val="russianLower"/>
      <w:isLgl w:val="false"/>
      <w:suff w:val="tab"/>
      <w:lvlText w:val="(%4)"/>
      <w:lvlJc w:val="left"/>
      <w:pPr>
        <w:ind w:left="1701" w:hanging="567"/>
        <w:tabs>
          <w:tab w:val="num" w:pos="0" w:leader="none"/>
        </w:tabs>
      </w:pPr>
      <w:rPr>
        <w:rFonts w:cs="Times New Roman"/>
      </w:rPr>
    </w:lvl>
    <w:lvl w:ilvl="4">
      <w:start w:val="1"/>
      <w:numFmt w:val="bullet"/>
      <w:isLgl w:val="false"/>
      <w:suff w:val="tab"/>
      <w:lvlText w:val="–"/>
      <w:lvlJc w:val="left"/>
      <w:pPr>
        <w:ind w:left="2268" w:hanging="567"/>
        <w:tabs>
          <w:tab w:val="num" w:pos="0" w:leader="none"/>
        </w:tabs>
      </w:pPr>
      <w:rPr>
        <w:rFonts w:hint="default" w:ascii="Times New Roman" w:hAnsi="Times New Roman" w:cs="Times New Roman"/>
      </w:rPr>
    </w:lvl>
    <w:lvl w:ilvl="5">
      <w:start w:val="1"/>
      <w:numFmt w:val="none"/>
      <w:isLgl w:val="false"/>
      <w:suff w:val="nothing"/>
      <w:lvlText w:val=""/>
      <w:lvlJc w:val="left"/>
      <w:pPr>
        <w:ind w:left="1134" w:firstLine="0"/>
        <w:tabs>
          <w:tab w:val="num" w:pos="0" w:leader="none"/>
        </w:tabs>
      </w:pPr>
      <w:rPr>
        <w:rFonts w:cs="Times New Roman"/>
      </w:rPr>
    </w:lvl>
    <w:lvl w:ilvl="6">
      <w:start w:val="1"/>
      <w:numFmt w:val="none"/>
      <w:isLgl w:val="false"/>
      <w:suff w:val="nothing"/>
      <w:lvlText w:val=""/>
      <w:lvlJc w:val="left"/>
      <w:pPr>
        <w:ind w:left="1701" w:firstLine="0"/>
        <w:tabs>
          <w:tab w:val="num" w:pos="0" w:leader="none"/>
        </w:tabs>
      </w:pPr>
      <w:rPr>
        <w:rFonts w:cs="Times New Roman"/>
      </w:rPr>
    </w:lvl>
    <w:lvl w:ilvl="7">
      <w:start w:val="1"/>
      <w:numFmt w:val="none"/>
      <w:isLgl w:val="false"/>
      <w:suff w:val="nothing"/>
      <w:lvlText w:val=""/>
      <w:lvlJc w:val="left"/>
      <w:pPr>
        <w:ind w:left="0" w:firstLine="0"/>
        <w:tabs>
          <w:tab w:val="num" w:pos="0" w:leader="none"/>
        </w:tabs>
      </w:pPr>
      <w:rPr>
        <w:rFonts w:cs="Times New Roman"/>
      </w:rPr>
    </w:lvl>
    <w:lvl w:ilvl="8">
      <w:start w:val="1"/>
      <w:numFmt w:val="none"/>
      <w:isLgl w:val="false"/>
      <w:suff w:val="nothing"/>
      <w:lvlText w:val=""/>
      <w:lvlJc w:val="left"/>
      <w:pPr>
        <w:ind w:left="1134" w:firstLine="0"/>
        <w:tabs>
          <w:tab w:val="num" w:pos="0" w:leader="none"/>
        </w:tabs>
      </w:pPr>
      <w:rPr>
        <w:rFonts w:cs="Times New Roman"/>
      </w:rPr>
    </w:lvl>
  </w:abstractNum>
  <w:abstractNum w:abstractNumId="23">
    <w:multiLevelType w:val="hybridMultilevel"/>
    <w:lvl w:ilvl="0">
      <w:start w:val="1"/>
      <w:numFmt w:val="decimal"/>
      <w:isLgl w:val="false"/>
      <w:suff w:val="tab"/>
      <w:lvlText w:val="%1."/>
      <w:lvlJc w:val="left"/>
      <w:pPr>
        <w:ind w:left="1134" w:hanging="1134"/>
        <w:tabs>
          <w:tab w:val="num" w:pos="0" w:leader="none"/>
        </w:tabs>
      </w:pPr>
    </w:lvl>
    <w:lvl w:ilvl="1">
      <w:start w:val="1"/>
      <w:numFmt w:val="decimal"/>
      <w:isLgl w:val="false"/>
      <w:suff w:val="tab"/>
      <w:lvlText w:val="%1.%2."/>
      <w:lvlJc w:val="left"/>
      <w:pPr>
        <w:ind w:left="1134" w:hanging="1134"/>
        <w:tabs>
          <w:tab w:val="num" w:pos="0" w:leader="none"/>
        </w:tabs>
      </w:pPr>
    </w:lvl>
    <w:lvl w:ilvl="2">
      <w:start w:val="1"/>
      <w:numFmt w:val="decimal"/>
      <w:isLgl w:val="false"/>
      <w:suff w:val="tab"/>
      <w:lvlText w:val="%1.%2.%3."/>
      <w:lvlJc w:val="left"/>
      <w:pPr>
        <w:ind w:left="1134" w:hanging="1134"/>
        <w:tabs>
          <w:tab w:val="num" w:pos="0" w:leader="none"/>
        </w:tabs>
      </w:pPr>
    </w:lvl>
    <w:lvl w:ilvl="3">
      <w:start w:val="1"/>
      <w:numFmt w:val="russianLower"/>
      <w:isLgl w:val="false"/>
      <w:suff w:val="tab"/>
      <w:lvlText w:val="(%4)"/>
      <w:lvlJc w:val="left"/>
      <w:pPr>
        <w:ind w:left="1985" w:hanging="567"/>
        <w:tabs>
          <w:tab w:val="num" w:pos="0" w:leader="none"/>
        </w:tabs>
      </w:pPr>
    </w:lvl>
    <w:lvl w:ilvl="4">
      <w:start w:val="1"/>
      <w:numFmt w:val="bullet"/>
      <w:isLgl w:val="false"/>
      <w:suff w:val="tab"/>
      <w:lvlText w:val="–"/>
      <w:lvlJc w:val="left"/>
      <w:pPr>
        <w:ind w:left="2268" w:hanging="567"/>
        <w:tabs>
          <w:tab w:val="num" w:pos="0" w:leader="none"/>
        </w:tabs>
      </w:pPr>
      <w:rPr>
        <w:rFonts w:hint="default" w:ascii="Times New Roman" w:hAnsi="Times New Roman" w:cs="Times New Roman"/>
      </w:rPr>
    </w:lvl>
    <w:lvl w:ilvl="5">
      <w:start w:val="1"/>
      <w:numFmt w:val="none"/>
      <w:isLgl w:val="false"/>
      <w:suff w:val="nothing"/>
      <w:lvlText w:val=""/>
      <w:lvlJc w:val="left"/>
      <w:pPr>
        <w:ind w:left="1134" w:firstLine="0"/>
        <w:tabs>
          <w:tab w:val="num" w:pos="0" w:leader="none"/>
        </w:tabs>
      </w:pPr>
    </w:lvl>
    <w:lvl w:ilvl="6">
      <w:start w:val="1"/>
      <w:numFmt w:val="none"/>
      <w:isLgl w:val="false"/>
      <w:suff w:val="nothing"/>
      <w:lvlText w:val=""/>
      <w:lvlJc w:val="left"/>
      <w:pPr>
        <w:ind w:left="1701" w:firstLine="0"/>
        <w:tabs>
          <w:tab w:val="num" w:pos="0" w:leader="none"/>
        </w:tabs>
      </w:pPr>
    </w:lvl>
    <w:lvl w:ilvl="7">
      <w:start w:val="1"/>
      <w:numFmt w:val="none"/>
      <w:isLgl w:val="false"/>
      <w:suff w:val="nothing"/>
      <w:lvlText w:val=""/>
      <w:lvlJc w:val="left"/>
      <w:pPr>
        <w:ind w:left="0" w:firstLine="0"/>
        <w:tabs>
          <w:tab w:val="num" w:pos="0" w:leader="none"/>
        </w:tabs>
      </w:pPr>
    </w:lvl>
    <w:lvl w:ilvl="8">
      <w:start w:val="1"/>
      <w:numFmt w:val="none"/>
      <w:isLgl w:val="false"/>
      <w:suff w:val="nothing"/>
      <w:lvlText w:val=""/>
      <w:lvlJc w:val="left"/>
      <w:pPr>
        <w:ind w:left="1134" w:firstLine="0"/>
        <w:tabs>
          <w:tab w:val="num" w:pos="0" w:leader="none"/>
        </w:tabs>
      </w:pPr>
    </w:lvl>
  </w:abstractNum>
  <w:abstractNum w:abstractNumId="24">
    <w:multiLevelType w:val="hybridMultilevel"/>
    <w:lvl w:ilvl="0">
      <w:start w:val="1"/>
      <w:numFmt w:val="decimal"/>
      <w:isLgl w:val="false"/>
      <w:suff w:val="tab"/>
      <w:lvlText w:val="%1."/>
      <w:lvlJc w:val="left"/>
      <w:pPr>
        <w:ind w:left="1134" w:hanging="1134"/>
        <w:tabs>
          <w:tab w:val="num" w:pos="0" w:leader="none"/>
        </w:tabs>
      </w:pPr>
      <w:rPr>
        <w:rFonts w:cs="Times New Roman"/>
      </w:rPr>
    </w:lvl>
    <w:lvl w:ilvl="1">
      <w:start w:val="1"/>
      <w:numFmt w:val="decimal"/>
      <w:isLgl w:val="false"/>
      <w:suff w:val="tab"/>
      <w:lvlText w:val="%1.%2."/>
      <w:lvlJc w:val="left"/>
      <w:pPr>
        <w:ind w:left="1134" w:hanging="1134"/>
        <w:tabs>
          <w:tab w:val="num" w:pos="0" w:leader="none"/>
        </w:tabs>
      </w:pPr>
      <w:rPr>
        <w:rFonts w:cs="Times New Roman"/>
      </w:rPr>
    </w:lvl>
    <w:lvl w:ilvl="2">
      <w:start w:val="1"/>
      <w:numFmt w:val="decimal"/>
      <w:isLgl w:val="false"/>
      <w:suff w:val="tab"/>
      <w:lvlText w:val="%1.%2.%3."/>
      <w:lvlJc w:val="left"/>
      <w:pPr>
        <w:ind w:left="1134" w:hanging="1134"/>
        <w:tabs>
          <w:tab w:val="num" w:pos="0" w:leader="none"/>
        </w:tabs>
      </w:pPr>
      <w:rPr>
        <w:rFonts w:cs="Times New Roman"/>
      </w:rPr>
    </w:lvl>
    <w:lvl w:ilvl="3">
      <w:start w:val="1"/>
      <w:numFmt w:val="russianLower"/>
      <w:isLgl w:val="false"/>
      <w:suff w:val="tab"/>
      <w:lvlText w:val="(%4)"/>
      <w:lvlJc w:val="left"/>
      <w:pPr>
        <w:ind w:left="1701" w:hanging="567"/>
        <w:tabs>
          <w:tab w:val="num" w:pos="0" w:leader="none"/>
        </w:tabs>
      </w:pPr>
      <w:rPr>
        <w:rFonts w:cs="Times New Roman"/>
      </w:rPr>
    </w:lvl>
    <w:lvl w:ilvl="4">
      <w:start w:val="1"/>
      <w:numFmt w:val="bullet"/>
      <w:isLgl w:val="false"/>
      <w:suff w:val="tab"/>
      <w:lvlText w:val="–"/>
      <w:lvlJc w:val="left"/>
      <w:pPr>
        <w:ind w:left="2268" w:hanging="567"/>
        <w:tabs>
          <w:tab w:val="num" w:pos="0" w:leader="none"/>
        </w:tabs>
      </w:pPr>
      <w:rPr>
        <w:rFonts w:hint="default" w:ascii="Times New Roman" w:hAnsi="Times New Roman" w:cs="Times New Roman"/>
      </w:rPr>
    </w:lvl>
    <w:lvl w:ilvl="5">
      <w:start w:val="1"/>
      <w:numFmt w:val="none"/>
      <w:isLgl w:val="false"/>
      <w:suff w:val="nothing"/>
      <w:lvlText w:val=""/>
      <w:lvlJc w:val="left"/>
      <w:pPr>
        <w:ind w:left="1134" w:firstLine="0"/>
        <w:tabs>
          <w:tab w:val="num" w:pos="0" w:leader="none"/>
        </w:tabs>
      </w:pPr>
      <w:rPr>
        <w:rFonts w:cs="Times New Roman"/>
      </w:rPr>
    </w:lvl>
    <w:lvl w:ilvl="6">
      <w:start w:val="1"/>
      <w:numFmt w:val="none"/>
      <w:isLgl w:val="false"/>
      <w:suff w:val="nothing"/>
      <w:lvlText w:val=""/>
      <w:lvlJc w:val="left"/>
      <w:pPr>
        <w:ind w:left="1701" w:firstLine="0"/>
        <w:tabs>
          <w:tab w:val="num" w:pos="0" w:leader="none"/>
        </w:tabs>
      </w:pPr>
      <w:rPr>
        <w:rFonts w:cs="Times New Roman"/>
      </w:rPr>
    </w:lvl>
    <w:lvl w:ilvl="7">
      <w:start w:val="1"/>
      <w:numFmt w:val="none"/>
      <w:isLgl w:val="false"/>
      <w:suff w:val="nothing"/>
      <w:lvlText w:val=""/>
      <w:lvlJc w:val="left"/>
      <w:pPr>
        <w:ind w:left="0" w:firstLine="0"/>
        <w:tabs>
          <w:tab w:val="num" w:pos="0" w:leader="none"/>
        </w:tabs>
      </w:pPr>
      <w:rPr>
        <w:rFonts w:cs="Times New Roman"/>
      </w:rPr>
    </w:lvl>
    <w:lvl w:ilvl="8">
      <w:start w:val="1"/>
      <w:numFmt w:val="none"/>
      <w:isLgl w:val="false"/>
      <w:suff w:val="nothing"/>
      <w:lvlText w:val=""/>
      <w:lvlJc w:val="left"/>
      <w:pPr>
        <w:ind w:left="1134" w:firstLine="0"/>
        <w:tabs>
          <w:tab w:val="num" w:pos="0" w:leader="none"/>
        </w:tabs>
      </w:pPr>
      <w:rPr>
        <w:rFonts w:cs="Times New Roman"/>
      </w:rPr>
    </w:lvl>
  </w:abstractNum>
  <w:abstractNum w:abstractNumId="25">
    <w:multiLevelType w:val="hybridMultilevel"/>
    <w:lvl w:ilvl="0">
      <w:start w:val="1"/>
      <w:numFmt w:val="decimal"/>
      <w:isLgl w:val="false"/>
      <w:suff w:val="tab"/>
      <w:lvlText w:val="%1."/>
      <w:lvlJc w:val="left"/>
      <w:pPr>
        <w:ind w:left="1134" w:hanging="1134"/>
        <w:tabs>
          <w:tab w:val="num" w:pos="0" w:leader="none"/>
        </w:tabs>
      </w:pPr>
      <w:rPr>
        <w:rFonts w:cs="Times New Roman"/>
      </w:rPr>
    </w:lvl>
    <w:lvl w:ilvl="1">
      <w:start w:val="1"/>
      <w:numFmt w:val="decimal"/>
      <w:isLgl w:val="false"/>
      <w:suff w:val="tab"/>
      <w:lvlText w:val="%1.%2."/>
      <w:lvlJc w:val="left"/>
      <w:pPr>
        <w:ind w:left="1134" w:hanging="1134"/>
        <w:tabs>
          <w:tab w:val="num" w:pos="0" w:leader="none"/>
        </w:tabs>
      </w:pPr>
      <w:rPr>
        <w:rFonts w:cs="Times New Roman"/>
      </w:rPr>
    </w:lvl>
    <w:lvl w:ilvl="2">
      <w:start w:val="1"/>
      <w:numFmt w:val="decimal"/>
      <w:isLgl w:val="false"/>
      <w:suff w:val="tab"/>
      <w:lvlText w:val="%1.%2.%3."/>
      <w:lvlJc w:val="left"/>
      <w:pPr>
        <w:ind w:left="1134" w:hanging="1134"/>
        <w:tabs>
          <w:tab w:val="num" w:pos="0" w:leader="none"/>
        </w:tabs>
      </w:pPr>
      <w:rPr>
        <w:rFonts w:cs="Times New Roman"/>
      </w:rPr>
    </w:lvl>
    <w:lvl w:ilvl="3">
      <w:start w:val="1"/>
      <w:numFmt w:val="russianLower"/>
      <w:isLgl w:val="false"/>
      <w:suff w:val="tab"/>
      <w:lvlText w:val="(%4)"/>
      <w:lvlJc w:val="left"/>
      <w:pPr>
        <w:ind w:left="1701" w:hanging="567"/>
        <w:tabs>
          <w:tab w:val="num" w:pos="0" w:leader="none"/>
        </w:tabs>
      </w:pPr>
      <w:rPr>
        <w:rFonts w:cs="Times New Roman"/>
      </w:rPr>
    </w:lvl>
    <w:lvl w:ilvl="4">
      <w:start w:val="1"/>
      <w:numFmt w:val="bullet"/>
      <w:isLgl w:val="false"/>
      <w:suff w:val="tab"/>
      <w:lvlText w:val="–"/>
      <w:lvlJc w:val="left"/>
      <w:pPr>
        <w:ind w:left="2268" w:hanging="567"/>
        <w:tabs>
          <w:tab w:val="num" w:pos="0" w:leader="none"/>
        </w:tabs>
      </w:pPr>
      <w:rPr>
        <w:rFonts w:hint="default" w:ascii="Times New Roman" w:hAnsi="Times New Roman" w:cs="Times New Roman"/>
      </w:rPr>
    </w:lvl>
    <w:lvl w:ilvl="5">
      <w:start w:val="1"/>
      <w:numFmt w:val="none"/>
      <w:isLgl w:val="false"/>
      <w:suff w:val="nothing"/>
      <w:lvlText w:val=""/>
      <w:lvlJc w:val="left"/>
      <w:pPr>
        <w:ind w:left="1134" w:firstLine="0"/>
        <w:tabs>
          <w:tab w:val="num" w:pos="0" w:leader="none"/>
        </w:tabs>
      </w:pPr>
      <w:rPr>
        <w:rFonts w:cs="Times New Roman"/>
      </w:rPr>
    </w:lvl>
    <w:lvl w:ilvl="6">
      <w:start w:val="1"/>
      <w:numFmt w:val="none"/>
      <w:isLgl w:val="false"/>
      <w:suff w:val="nothing"/>
      <w:lvlText w:val=""/>
      <w:lvlJc w:val="left"/>
      <w:pPr>
        <w:ind w:left="1701" w:firstLine="0"/>
        <w:tabs>
          <w:tab w:val="num" w:pos="0" w:leader="none"/>
        </w:tabs>
      </w:pPr>
      <w:rPr>
        <w:rFonts w:cs="Times New Roman"/>
      </w:rPr>
    </w:lvl>
    <w:lvl w:ilvl="7">
      <w:start w:val="1"/>
      <w:numFmt w:val="none"/>
      <w:isLgl w:val="false"/>
      <w:suff w:val="nothing"/>
      <w:lvlText w:val=""/>
      <w:lvlJc w:val="left"/>
      <w:pPr>
        <w:ind w:left="0" w:firstLine="0"/>
        <w:tabs>
          <w:tab w:val="num" w:pos="0" w:leader="none"/>
        </w:tabs>
      </w:pPr>
      <w:rPr>
        <w:rFonts w:cs="Times New Roman"/>
      </w:rPr>
    </w:lvl>
    <w:lvl w:ilvl="8">
      <w:start w:val="1"/>
      <w:numFmt w:val="none"/>
      <w:isLgl w:val="false"/>
      <w:suff w:val="nothing"/>
      <w:lvlText w:val=""/>
      <w:lvlJc w:val="left"/>
      <w:pPr>
        <w:ind w:left="1134" w:firstLine="0"/>
        <w:tabs>
          <w:tab w:val="num" w:pos="0" w:leader="none"/>
        </w:tabs>
      </w:pPr>
      <w:rPr>
        <w:rFonts w:cs="Times New Roman"/>
      </w:rPr>
    </w:lvl>
  </w:abstractNum>
  <w:abstractNum w:abstractNumId="26">
    <w:multiLevelType w:val="hybridMultilevel"/>
    <w:lvl w:ilvl="0">
      <w:start w:val="1"/>
      <w:numFmt w:val="decimal"/>
      <w:isLgl w:val="false"/>
      <w:suff w:val="tab"/>
      <w:lvlText w:val="%1."/>
      <w:lvlJc w:val="left"/>
      <w:pPr>
        <w:ind w:left="1134" w:hanging="1134"/>
        <w:tabs>
          <w:tab w:val="num" w:pos="0" w:leader="none"/>
        </w:tabs>
      </w:pPr>
      <w:rPr>
        <w:rFonts w:cs="Times New Roman"/>
      </w:rPr>
    </w:lvl>
    <w:lvl w:ilvl="1">
      <w:start w:val="1"/>
      <w:numFmt w:val="decimal"/>
      <w:isLgl w:val="false"/>
      <w:suff w:val="tab"/>
      <w:lvlText w:val="%1.%2."/>
      <w:lvlJc w:val="left"/>
      <w:pPr>
        <w:ind w:left="1134" w:hanging="1134"/>
        <w:tabs>
          <w:tab w:val="num" w:pos="0" w:leader="none"/>
        </w:tabs>
      </w:pPr>
      <w:rPr>
        <w:rFonts w:cs="Times New Roman"/>
      </w:rPr>
    </w:lvl>
    <w:lvl w:ilvl="2">
      <w:start w:val="1"/>
      <w:numFmt w:val="decimal"/>
      <w:isLgl w:val="false"/>
      <w:suff w:val="tab"/>
      <w:lvlText w:val="%1.%2.%3."/>
      <w:lvlJc w:val="left"/>
      <w:pPr>
        <w:ind w:left="1134" w:hanging="1134"/>
        <w:tabs>
          <w:tab w:val="num" w:pos="0" w:leader="none"/>
        </w:tabs>
      </w:pPr>
      <w:rPr>
        <w:rFonts w:cs="Times New Roman"/>
      </w:rPr>
    </w:lvl>
    <w:lvl w:ilvl="3">
      <w:start w:val="1"/>
      <w:numFmt w:val="russianLower"/>
      <w:isLgl w:val="false"/>
      <w:suff w:val="tab"/>
      <w:lvlText w:val="(%4)"/>
      <w:lvlJc w:val="left"/>
      <w:pPr>
        <w:ind w:left="1701" w:hanging="567"/>
        <w:tabs>
          <w:tab w:val="num" w:pos="0" w:leader="none"/>
        </w:tabs>
      </w:pPr>
      <w:rPr>
        <w:rFonts w:cs="Times New Roman"/>
      </w:rPr>
    </w:lvl>
    <w:lvl w:ilvl="4">
      <w:start w:val="1"/>
      <w:numFmt w:val="bullet"/>
      <w:isLgl w:val="false"/>
      <w:suff w:val="tab"/>
      <w:lvlText w:val="–"/>
      <w:lvlJc w:val="left"/>
      <w:pPr>
        <w:ind w:left="2268" w:hanging="567"/>
        <w:tabs>
          <w:tab w:val="num" w:pos="0" w:leader="none"/>
        </w:tabs>
      </w:pPr>
      <w:rPr>
        <w:rFonts w:hint="default" w:ascii="Times New Roman" w:hAnsi="Times New Roman" w:cs="Times New Roman"/>
      </w:rPr>
    </w:lvl>
    <w:lvl w:ilvl="5">
      <w:start w:val="1"/>
      <w:numFmt w:val="none"/>
      <w:isLgl w:val="false"/>
      <w:suff w:val="nothing"/>
      <w:lvlText w:val=""/>
      <w:lvlJc w:val="left"/>
      <w:pPr>
        <w:ind w:left="1134" w:firstLine="0"/>
        <w:tabs>
          <w:tab w:val="num" w:pos="0" w:leader="none"/>
        </w:tabs>
      </w:pPr>
      <w:rPr>
        <w:rFonts w:cs="Times New Roman"/>
      </w:rPr>
    </w:lvl>
    <w:lvl w:ilvl="6">
      <w:start w:val="1"/>
      <w:numFmt w:val="none"/>
      <w:isLgl w:val="false"/>
      <w:suff w:val="nothing"/>
      <w:lvlText w:val=""/>
      <w:lvlJc w:val="left"/>
      <w:pPr>
        <w:ind w:left="1701" w:firstLine="0"/>
        <w:tabs>
          <w:tab w:val="num" w:pos="0" w:leader="none"/>
        </w:tabs>
      </w:pPr>
      <w:rPr>
        <w:rFonts w:cs="Times New Roman"/>
      </w:rPr>
    </w:lvl>
    <w:lvl w:ilvl="7">
      <w:start w:val="1"/>
      <w:numFmt w:val="none"/>
      <w:isLgl w:val="false"/>
      <w:suff w:val="nothing"/>
      <w:lvlText w:val=""/>
      <w:lvlJc w:val="left"/>
      <w:pPr>
        <w:ind w:left="0" w:firstLine="0"/>
        <w:tabs>
          <w:tab w:val="num" w:pos="0" w:leader="none"/>
        </w:tabs>
      </w:pPr>
      <w:rPr>
        <w:rFonts w:cs="Times New Roman"/>
      </w:rPr>
    </w:lvl>
    <w:lvl w:ilvl="8">
      <w:start w:val="1"/>
      <w:numFmt w:val="none"/>
      <w:isLgl w:val="false"/>
      <w:suff w:val="nothing"/>
      <w:lvlText w:val=""/>
      <w:lvlJc w:val="left"/>
      <w:pPr>
        <w:ind w:left="1134" w:firstLine="0"/>
        <w:tabs>
          <w:tab w:val="num" w:pos="0" w:leader="none"/>
        </w:tabs>
      </w:pPr>
      <w:rPr>
        <w:rFonts w:cs="Times New Roman"/>
      </w:rPr>
    </w:lvl>
  </w:abstractNum>
  <w:abstractNum w:abstractNumId="27">
    <w:multiLevelType w:val="hybridMultilevel"/>
    <w:lvl w:ilvl="0">
      <w:start w:val="1"/>
      <w:numFmt w:val="decimal"/>
      <w:isLgl w:val="false"/>
      <w:suff w:val="tab"/>
      <w:lvlText w:val="%1."/>
      <w:lvlJc w:val="left"/>
      <w:pPr>
        <w:ind w:left="1134" w:hanging="1134"/>
        <w:tabs>
          <w:tab w:val="num" w:pos="0" w:leader="none"/>
        </w:tabs>
      </w:pPr>
    </w:lvl>
    <w:lvl w:ilvl="1">
      <w:start w:val="1"/>
      <w:numFmt w:val="decimal"/>
      <w:isLgl w:val="false"/>
      <w:suff w:val="tab"/>
      <w:lvlText w:val="%1.%2."/>
      <w:lvlJc w:val="left"/>
      <w:pPr>
        <w:ind w:left="1134" w:hanging="1134"/>
        <w:tabs>
          <w:tab w:val="num" w:pos="0" w:leader="none"/>
        </w:tabs>
      </w:pPr>
    </w:lvl>
    <w:lvl w:ilvl="2">
      <w:start w:val="1"/>
      <w:numFmt w:val="decimal"/>
      <w:isLgl w:val="false"/>
      <w:suff w:val="tab"/>
      <w:lvlText w:val="%1.%2.%3."/>
      <w:lvlJc w:val="left"/>
      <w:pPr>
        <w:ind w:left="1134" w:hanging="1134"/>
        <w:tabs>
          <w:tab w:val="num" w:pos="0" w:leader="none"/>
        </w:tabs>
      </w:pPr>
    </w:lvl>
    <w:lvl w:ilvl="3">
      <w:start w:val="1"/>
      <w:numFmt w:val="russianLower"/>
      <w:pStyle w:val="1371"/>
      <w:isLgl w:val="false"/>
      <w:suff w:val="tab"/>
      <w:lvlText w:val="(%4)"/>
      <w:lvlJc w:val="left"/>
      <w:pPr>
        <w:ind w:left="1701" w:hanging="567"/>
        <w:tabs>
          <w:tab w:val="num" w:pos="0" w:leader="none"/>
        </w:tabs>
      </w:pPr>
    </w:lvl>
    <w:lvl w:ilvl="4">
      <w:start w:val="1"/>
      <w:numFmt w:val="bullet"/>
      <w:pStyle w:val="1372"/>
      <w:isLgl w:val="false"/>
      <w:suff w:val="tab"/>
      <w:lvlText w:val="–"/>
      <w:lvlJc w:val="left"/>
      <w:pPr>
        <w:ind w:left="2268" w:hanging="567"/>
        <w:tabs>
          <w:tab w:val="num" w:pos="0" w:leader="none"/>
        </w:tabs>
      </w:pPr>
      <w:rPr>
        <w:rFonts w:hint="default" w:ascii="Times New Roman" w:hAnsi="Times New Roman" w:cs="Times New Roman"/>
      </w:rPr>
    </w:lvl>
    <w:lvl w:ilvl="5">
      <w:start w:val="1"/>
      <w:numFmt w:val="none"/>
      <w:pStyle w:val="1373"/>
      <w:isLgl w:val="false"/>
      <w:suff w:val="nothing"/>
      <w:lvlText w:val=""/>
      <w:lvlJc w:val="left"/>
      <w:pPr>
        <w:ind w:left="1134" w:firstLine="0"/>
        <w:tabs>
          <w:tab w:val="num" w:pos="0" w:leader="none"/>
        </w:tabs>
      </w:pPr>
    </w:lvl>
    <w:lvl w:ilvl="6">
      <w:start w:val="1"/>
      <w:numFmt w:val="none"/>
      <w:pStyle w:val="1374"/>
      <w:isLgl w:val="false"/>
      <w:suff w:val="nothing"/>
      <w:lvlText w:val=""/>
      <w:lvlJc w:val="left"/>
      <w:pPr>
        <w:ind w:left="1701" w:firstLine="0"/>
        <w:tabs>
          <w:tab w:val="num" w:pos="0" w:leader="none"/>
        </w:tabs>
      </w:pPr>
    </w:lvl>
    <w:lvl w:ilvl="7">
      <w:start w:val="1"/>
      <w:numFmt w:val="none"/>
      <w:isLgl w:val="false"/>
      <w:suff w:val="nothing"/>
      <w:lvlText w:val=""/>
      <w:lvlJc w:val="left"/>
      <w:pPr>
        <w:ind w:left="0" w:firstLine="0"/>
        <w:tabs>
          <w:tab w:val="num" w:pos="0" w:leader="none"/>
        </w:tabs>
      </w:pPr>
    </w:lvl>
    <w:lvl w:ilvl="8">
      <w:start w:val="1"/>
      <w:numFmt w:val="none"/>
      <w:isLgl w:val="false"/>
      <w:suff w:val="nothing"/>
      <w:lvlText w:val=""/>
      <w:lvlJc w:val="left"/>
      <w:pPr>
        <w:ind w:left="1134" w:firstLine="0"/>
        <w:tabs>
          <w:tab w:val="num" w:pos="0" w:leader="none"/>
        </w:tabs>
      </w:pPr>
    </w:lvl>
  </w:abstractNum>
  <w:abstractNum w:abstractNumId="28">
    <w:multiLevelType w:val="hybridMultilevel"/>
    <w:lvl w:ilvl="0">
      <w:start w:val="1"/>
      <w:numFmt w:val="decimal"/>
      <w:isLgl w:val="false"/>
      <w:suff w:val="tab"/>
      <w:lvlText w:val="%1."/>
      <w:lvlJc w:val="left"/>
      <w:pPr>
        <w:ind w:left="1134" w:hanging="1134"/>
        <w:tabs>
          <w:tab w:val="num" w:pos="0" w:leader="none"/>
        </w:tabs>
      </w:pPr>
      <w:rPr>
        <w:rFonts w:cs="Times New Roman"/>
      </w:rPr>
    </w:lvl>
    <w:lvl w:ilvl="1">
      <w:start w:val="1"/>
      <w:numFmt w:val="decimal"/>
      <w:isLgl w:val="false"/>
      <w:suff w:val="tab"/>
      <w:lvlText w:val="%1.%2."/>
      <w:lvlJc w:val="left"/>
      <w:pPr>
        <w:ind w:left="1134" w:hanging="1134"/>
        <w:tabs>
          <w:tab w:val="num" w:pos="0" w:leader="none"/>
        </w:tabs>
      </w:pPr>
      <w:rPr>
        <w:rFonts w:cs="Times New Roman"/>
      </w:rPr>
    </w:lvl>
    <w:lvl w:ilvl="2">
      <w:start w:val="1"/>
      <w:numFmt w:val="decimal"/>
      <w:isLgl w:val="false"/>
      <w:suff w:val="tab"/>
      <w:lvlText w:val="%1.%2.%3."/>
      <w:lvlJc w:val="left"/>
      <w:pPr>
        <w:ind w:left="1134" w:hanging="1134"/>
        <w:tabs>
          <w:tab w:val="num" w:pos="0" w:leader="none"/>
        </w:tabs>
      </w:pPr>
      <w:rPr>
        <w:rFonts w:cs="Times New Roman"/>
      </w:rPr>
    </w:lvl>
    <w:lvl w:ilvl="3">
      <w:start w:val="1"/>
      <w:numFmt w:val="russianLower"/>
      <w:isLgl w:val="false"/>
      <w:suff w:val="tab"/>
      <w:lvlText w:val="(%4)"/>
      <w:lvlJc w:val="left"/>
      <w:pPr>
        <w:ind w:left="1701" w:hanging="567"/>
        <w:tabs>
          <w:tab w:val="num" w:pos="0" w:leader="none"/>
        </w:tabs>
      </w:pPr>
      <w:rPr>
        <w:rFonts w:cs="Times New Roman"/>
      </w:rPr>
    </w:lvl>
    <w:lvl w:ilvl="4">
      <w:start w:val="1"/>
      <w:numFmt w:val="bullet"/>
      <w:isLgl w:val="false"/>
      <w:suff w:val="tab"/>
      <w:lvlText w:val="–"/>
      <w:lvlJc w:val="left"/>
      <w:pPr>
        <w:ind w:left="2268" w:hanging="567"/>
        <w:tabs>
          <w:tab w:val="num" w:pos="0" w:leader="none"/>
        </w:tabs>
      </w:pPr>
      <w:rPr>
        <w:rFonts w:hint="default" w:ascii="Times New Roman" w:hAnsi="Times New Roman" w:cs="Times New Roman"/>
      </w:rPr>
    </w:lvl>
    <w:lvl w:ilvl="5">
      <w:start w:val="1"/>
      <w:numFmt w:val="none"/>
      <w:isLgl w:val="false"/>
      <w:suff w:val="nothing"/>
      <w:lvlText w:val=""/>
      <w:lvlJc w:val="left"/>
      <w:pPr>
        <w:ind w:left="1134" w:firstLine="0"/>
        <w:tabs>
          <w:tab w:val="num" w:pos="0" w:leader="none"/>
        </w:tabs>
      </w:pPr>
      <w:rPr>
        <w:rFonts w:cs="Times New Roman"/>
      </w:rPr>
    </w:lvl>
    <w:lvl w:ilvl="6">
      <w:start w:val="1"/>
      <w:numFmt w:val="none"/>
      <w:isLgl w:val="false"/>
      <w:suff w:val="nothing"/>
      <w:lvlText w:val=""/>
      <w:lvlJc w:val="left"/>
      <w:pPr>
        <w:ind w:left="1701" w:firstLine="0"/>
        <w:tabs>
          <w:tab w:val="num" w:pos="0" w:leader="none"/>
        </w:tabs>
      </w:pPr>
      <w:rPr>
        <w:rFonts w:cs="Times New Roman"/>
      </w:rPr>
    </w:lvl>
    <w:lvl w:ilvl="7">
      <w:start w:val="1"/>
      <w:numFmt w:val="none"/>
      <w:isLgl w:val="false"/>
      <w:suff w:val="nothing"/>
      <w:lvlText w:val=""/>
      <w:lvlJc w:val="left"/>
      <w:pPr>
        <w:ind w:left="0" w:firstLine="0"/>
        <w:tabs>
          <w:tab w:val="num" w:pos="0" w:leader="none"/>
        </w:tabs>
      </w:pPr>
      <w:rPr>
        <w:rFonts w:cs="Times New Roman"/>
      </w:rPr>
    </w:lvl>
    <w:lvl w:ilvl="8">
      <w:start w:val="1"/>
      <w:numFmt w:val="none"/>
      <w:isLgl w:val="false"/>
      <w:suff w:val="nothing"/>
      <w:lvlText w:val=""/>
      <w:lvlJc w:val="left"/>
      <w:pPr>
        <w:ind w:left="1134" w:firstLine="0"/>
        <w:tabs>
          <w:tab w:val="num" w:pos="0" w:leader="none"/>
        </w:tabs>
      </w:pPr>
      <w:rPr>
        <w:rFonts w:cs="Times New Roman"/>
      </w:rPr>
    </w:lvl>
  </w:abstractNum>
  <w:abstractNum w:abstractNumId="29">
    <w:multiLevelType w:val="hybridMultilevel"/>
    <w:lvl w:ilvl="0">
      <w:start w:val="1"/>
      <w:numFmt w:val="decimal"/>
      <w:isLgl w:val="false"/>
      <w:suff w:val="tab"/>
      <w:lvlText w:val="%1."/>
      <w:lvlJc w:val="left"/>
      <w:pPr>
        <w:ind w:left="0" w:firstLine="0"/>
        <w:tabs>
          <w:tab w:val="num" w:pos="0" w:leader="none"/>
        </w:tabs>
      </w:pPr>
    </w:lvl>
    <w:lvl w:ilvl="1">
      <w:start w:val="1"/>
      <w:numFmt w:val="decimal"/>
      <w:isLgl w:val="false"/>
      <w:suff w:val="tab"/>
      <w:lvlText w:val="%1.%2."/>
      <w:lvlJc w:val="left"/>
      <w:pPr>
        <w:ind w:left="0" w:firstLine="0"/>
        <w:tabs>
          <w:tab w:val="num" w:pos="0" w:leader="none"/>
        </w:tabs>
      </w:pPr>
    </w:lvl>
    <w:lvl w:ilvl="2">
      <w:start w:val="1"/>
      <w:numFmt w:val="decimal"/>
      <w:isLgl w:val="false"/>
      <w:suff w:val="tab"/>
      <w:lvlText w:val="%1.%2.%3."/>
      <w:lvlJc w:val="left"/>
      <w:pPr>
        <w:ind w:left="0" w:firstLine="0"/>
        <w:tabs>
          <w:tab w:val="num" w:pos="0" w:leader="none"/>
        </w:tabs>
      </w:pPr>
    </w:lvl>
    <w:lvl w:ilvl="3">
      <w:start w:val="1"/>
      <w:numFmt w:val="decimal"/>
      <w:isLgl w:val="false"/>
      <w:suff w:val="tab"/>
      <w:lvlText w:val="(%4)"/>
      <w:lvlJc w:val="left"/>
      <w:pPr>
        <w:ind w:left="0" w:firstLine="0"/>
        <w:tabs>
          <w:tab w:val="num" w:pos="0" w:leader="none"/>
        </w:tabs>
      </w:pPr>
    </w:lvl>
    <w:lvl w:ilvl="4">
      <w:start w:val="1"/>
      <w:numFmt w:val="bullet"/>
      <w:isLgl w:val="false"/>
      <w:suff w:val="tab"/>
      <w:lvlText w:val="–"/>
      <w:lvlJc w:val="left"/>
      <w:pPr>
        <w:ind w:left="0" w:firstLine="0"/>
        <w:tabs>
          <w:tab w:val="num" w:pos="0" w:leader="none"/>
        </w:tabs>
      </w:pPr>
      <w:rPr>
        <w:rFonts w:hint="default" w:ascii="Times New Roman" w:hAnsi="Times New Roman" w:cs="Times New Roman"/>
      </w:rPr>
    </w:lvl>
    <w:lvl w:ilvl="5">
      <w:start w:val="1"/>
      <w:numFmt w:val="none"/>
      <w:isLgl w:val="false"/>
      <w:suff w:val="nothing"/>
      <w:lvlText w:val="%6"/>
      <w:lvlJc w:val="left"/>
      <w:pPr>
        <w:ind w:left="0" w:firstLine="0"/>
        <w:tabs>
          <w:tab w:val="num" w:pos="0" w:leader="none"/>
        </w:tabs>
      </w:pPr>
    </w:lvl>
    <w:lvl w:ilvl="6">
      <w:start w:val="1"/>
      <w:numFmt w:val="none"/>
      <w:isLgl w:val="false"/>
      <w:suff w:val="nothing"/>
      <w:lvlText w:val="%7"/>
      <w:lvlJc w:val="left"/>
      <w:pPr>
        <w:ind w:left="0" w:firstLine="0"/>
        <w:tabs>
          <w:tab w:val="num" w:pos="0" w:leader="none"/>
        </w:tabs>
      </w:pPr>
    </w:lvl>
    <w:lvl w:ilvl="7">
      <w:start w:val="1"/>
      <w:numFmt w:val="none"/>
      <w:isLgl w:val="false"/>
      <w:suff w:val="nothing"/>
      <w:lvlText w:val="%8"/>
      <w:lvlJc w:val="left"/>
      <w:pPr>
        <w:ind w:left="0" w:firstLine="0"/>
        <w:tabs>
          <w:tab w:val="num" w:pos="0" w:leader="none"/>
        </w:tabs>
      </w:pPr>
    </w:lvl>
    <w:lvl w:ilvl="8">
      <w:start w:val="1"/>
      <w:numFmt w:val="none"/>
      <w:isLgl w:val="false"/>
      <w:suff w:val="nothing"/>
      <w:lvlText w:val="%9"/>
      <w:lvlJc w:val="left"/>
      <w:pPr>
        <w:ind w:left="0" w:firstLine="0"/>
        <w:tabs>
          <w:tab w:val="num" w:pos="0" w:leader="none"/>
        </w:tabs>
      </w:pPr>
    </w:lvl>
  </w:abstractNum>
  <w:abstractNum w:abstractNumId="30">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31">
    <w:multiLevelType w:val="hybridMultilevel"/>
    <w:lvl w:ilvl="0">
      <w:start w:val="1"/>
      <w:numFmt w:val="russianLower"/>
      <w:isLgl w:val="false"/>
      <w:suff w:val="tab"/>
      <w:lvlText w:val="%1)"/>
      <w:lvlJc w:val="left"/>
      <w:pPr>
        <w:ind w:left="720" w:hanging="360"/>
      </w:pPr>
      <w:rPr>
        <w:rFonts w:hint="default" w:ascii="Times New Roman" w:hAnsi="Times New Roman" w:cs="Times New Roman"/>
        <w:sz w:val="26"/>
        <w:szCs w:val="26"/>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2">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33">
    <w:multiLevelType w:val="hybridMultilevel"/>
    <w:lvl w:ilvl="0">
      <w:start w:val="1"/>
      <w:numFmt w:val="decimal"/>
      <w:isLgl w:val="false"/>
      <w:suff w:val="tab"/>
      <w:lvlText w:val="%1."/>
      <w:lvlJc w:val="left"/>
      <w:pPr>
        <w:ind w:left="1134" w:hanging="1134"/>
        <w:tabs>
          <w:tab w:val="num" w:pos="0" w:leader="none"/>
        </w:tabs>
      </w:pPr>
      <w:rPr>
        <w:rFonts w:cs="Times New Roman"/>
      </w:rPr>
    </w:lvl>
    <w:lvl w:ilvl="1">
      <w:start w:val="1"/>
      <w:numFmt w:val="decimal"/>
      <w:isLgl w:val="false"/>
      <w:suff w:val="tab"/>
      <w:lvlText w:val="%1.%2."/>
      <w:lvlJc w:val="left"/>
      <w:pPr>
        <w:ind w:left="1134" w:hanging="1134"/>
        <w:tabs>
          <w:tab w:val="num" w:pos="0" w:leader="none"/>
        </w:tabs>
      </w:pPr>
      <w:rPr>
        <w:rFonts w:cs="Times New Roman"/>
      </w:rPr>
    </w:lvl>
    <w:lvl w:ilvl="2">
      <w:start w:val="1"/>
      <w:numFmt w:val="decimal"/>
      <w:isLgl w:val="false"/>
      <w:suff w:val="tab"/>
      <w:lvlText w:val="%1.%2.%3."/>
      <w:lvlJc w:val="left"/>
      <w:pPr>
        <w:ind w:left="1134" w:hanging="1134"/>
        <w:tabs>
          <w:tab w:val="num" w:pos="0" w:leader="none"/>
        </w:tabs>
      </w:pPr>
      <w:rPr>
        <w:rFonts w:cs="Times New Roman"/>
      </w:rPr>
    </w:lvl>
    <w:lvl w:ilvl="3">
      <w:start w:val="1"/>
      <w:numFmt w:val="russianLower"/>
      <w:isLgl w:val="false"/>
      <w:suff w:val="tab"/>
      <w:lvlText w:val="(%4)"/>
      <w:lvlJc w:val="left"/>
      <w:pPr>
        <w:ind w:left="1701" w:hanging="567"/>
        <w:tabs>
          <w:tab w:val="num" w:pos="0" w:leader="none"/>
        </w:tabs>
      </w:pPr>
      <w:rPr>
        <w:rFonts w:cs="Times New Roman"/>
      </w:rPr>
    </w:lvl>
    <w:lvl w:ilvl="4">
      <w:start w:val="1"/>
      <w:numFmt w:val="bullet"/>
      <w:isLgl w:val="false"/>
      <w:suff w:val="tab"/>
      <w:lvlText w:val="–"/>
      <w:lvlJc w:val="left"/>
      <w:pPr>
        <w:ind w:left="2268" w:hanging="567"/>
        <w:tabs>
          <w:tab w:val="num" w:pos="0" w:leader="none"/>
        </w:tabs>
      </w:pPr>
      <w:rPr>
        <w:rFonts w:hint="default" w:ascii="Times New Roman" w:hAnsi="Times New Roman" w:cs="Times New Roman"/>
      </w:rPr>
    </w:lvl>
    <w:lvl w:ilvl="5">
      <w:start w:val="1"/>
      <w:numFmt w:val="none"/>
      <w:isLgl w:val="false"/>
      <w:suff w:val="nothing"/>
      <w:lvlText w:val=""/>
      <w:lvlJc w:val="left"/>
      <w:pPr>
        <w:ind w:left="1134" w:firstLine="0"/>
        <w:tabs>
          <w:tab w:val="num" w:pos="0" w:leader="none"/>
        </w:tabs>
      </w:pPr>
      <w:rPr>
        <w:rFonts w:cs="Times New Roman"/>
      </w:rPr>
    </w:lvl>
    <w:lvl w:ilvl="6">
      <w:start w:val="1"/>
      <w:numFmt w:val="none"/>
      <w:isLgl w:val="false"/>
      <w:suff w:val="nothing"/>
      <w:lvlText w:val=""/>
      <w:lvlJc w:val="left"/>
      <w:pPr>
        <w:ind w:left="1701" w:firstLine="0"/>
        <w:tabs>
          <w:tab w:val="num" w:pos="0" w:leader="none"/>
        </w:tabs>
      </w:pPr>
      <w:rPr>
        <w:rFonts w:cs="Times New Roman"/>
      </w:rPr>
    </w:lvl>
    <w:lvl w:ilvl="7">
      <w:start w:val="1"/>
      <w:numFmt w:val="none"/>
      <w:isLgl w:val="false"/>
      <w:suff w:val="nothing"/>
      <w:lvlText w:val=""/>
      <w:lvlJc w:val="left"/>
      <w:pPr>
        <w:ind w:left="0" w:firstLine="0"/>
        <w:tabs>
          <w:tab w:val="num" w:pos="0" w:leader="none"/>
        </w:tabs>
      </w:pPr>
      <w:rPr>
        <w:rFonts w:cs="Times New Roman"/>
      </w:rPr>
    </w:lvl>
    <w:lvl w:ilvl="8">
      <w:start w:val="1"/>
      <w:numFmt w:val="none"/>
      <w:isLgl w:val="false"/>
      <w:suff w:val="nothing"/>
      <w:lvlText w:val=""/>
      <w:lvlJc w:val="left"/>
      <w:pPr>
        <w:ind w:left="1134" w:firstLine="0"/>
        <w:tabs>
          <w:tab w:val="num" w:pos="0" w:leader="none"/>
        </w:tabs>
      </w:pPr>
      <w:rPr>
        <w:rFonts w:cs="Times New Roman"/>
      </w:rPr>
    </w:lvl>
  </w:abstractNum>
  <w:abstractNum w:abstractNumId="34">
    <w:multiLevelType w:val="hybridMultilevel"/>
    <w:lvl w:ilvl="0">
      <w:start w:val="1"/>
      <w:numFmt w:val="decimal"/>
      <w:isLgl w:val="false"/>
      <w:suff w:val="tab"/>
      <w:lvlText w:val="%1."/>
      <w:lvlJc w:val="left"/>
      <w:pPr>
        <w:ind w:left="1134" w:hanging="1134"/>
        <w:tabs>
          <w:tab w:val="num" w:pos="0" w:leader="none"/>
        </w:tabs>
      </w:pPr>
      <w:rPr>
        <w:rFonts w:cs="Times New Roman"/>
      </w:rPr>
    </w:lvl>
    <w:lvl w:ilvl="1">
      <w:start w:val="1"/>
      <w:numFmt w:val="decimal"/>
      <w:isLgl w:val="false"/>
      <w:suff w:val="tab"/>
      <w:lvlText w:val="%1.%2."/>
      <w:lvlJc w:val="left"/>
      <w:pPr>
        <w:ind w:left="1134" w:hanging="1134"/>
        <w:tabs>
          <w:tab w:val="num" w:pos="0" w:leader="none"/>
        </w:tabs>
      </w:pPr>
      <w:rPr>
        <w:rFonts w:cs="Times New Roman"/>
      </w:rPr>
    </w:lvl>
    <w:lvl w:ilvl="2">
      <w:start w:val="1"/>
      <w:numFmt w:val="decimal"/>
      <w:isLgl w:val="false"/>
      <w:suff w:val="tab"/>
      <w:lvlText w:val="%1.%2.%3."/>
      <w:lvlJc w:val="left"/>
      <w:pPr>
        <w:ind w:left="1134" w:hanging="1134"/>
        <w:tabs>
          <w:tab w:val="num" w:pos="0" w:leader="none"/>
        </w:tabs>
      </w:pPr>
      <w:rPr>
        <w:rFonts w:cs="Times New Roman"/>
      </w:rPr>
    </w:lvl>
    <w:lvl w:ilvl="3">
      <w:start w:val="1"/>
      <w:numFmt w:val="russianLower"/>
      <w:isLgl w:val="false"/>
      <w:suff w:val="tab"/>
      <w:lvlText w:val="(%4)"/>
      <w:lvlJc w:val="left"/>
      <w:pPr>
        <w:ind w:left="1701" w:hanging="567"/>
        <w:tabs>
          <w:tab w:val="num" w:pos="0" w:leader="none"/>
        </w:tabs>
      </w:pPr>
      <w:rPr>
        <w:rFonts w:cs="Times New Roman"/>
      </w:rPr>
    </w:lvl>
    <w:lvl w:ilvl="4">
      <w:start w:val="1"/>
      <w:numFmt w:val="bullet"/>
      <w:isLgl w:val="false"/>
      <w:suff w:val="tab"/>
      <w:lvlText w:val="–"/>
      <w:lvlJc w:val="left"/>
      <w:pPr>
        <w:ind w:left="2268" w:hanging="567"/>
        <w:tabs>
          <w:tab w:val="num" w:pos="0" w:leader="none"/>
        </w:tabs>
      </w:pPr>
      <w:rPr>
        <w:rFonts w:hint="default" w:ascii="Times New Roman" w:hAnsi="Times New Roman" w:cs="Times New Roman"/>
      </w:rPr>
    </w:lvl>
    <w:lvl w:ilvl="5">
      <w:start w:val="1"/>
      <w:numFmt w:val="none"/>
      <w:isLgl w:val="false"/>
      <w:suff w:val="nothing"/>
      <w:lvlText w:val=""/>
      <w:lvlJc w:val="left"/>
      <w:pPr>
        <w:ind w:left="1134" w:firstLine="0"/>
        <w:tabs>
          <w:tab w:val="num" w:pos="0" w:leader="none"/>
        </w:tabs>
      </w:pPr>
      <w:rPr>
        <w:rFonts w:cs="Times New Roman"/>
      </w:rPr>
    </w:lvl>
    <w:lvl w:ilvl="6">
      <w:start w:val="1"/>
      <w:numFmt w:val="none"/>
      <w:isLgl w:val="false"/>
      <w:suff w:val="nothing"/>
      <w:lvlText w:val=""/>
      <w:lvlJc w:val="left"/>
      <w:pPr>
        <w:ind w:left="1701" w:firstLine="0"/>
        <w:tabs>
          <w:tab w:val="num" w:pos="0" w:leader="none"/>
        </w:tabs>
      </w:pPr>
      <w:rPr>
        <w:rFonts w:cs="Times New Roman"/>
      </w:rPr>
    </w:lvl>
    <w:lvl w:ilvl="7">
      <w:start w:val="1"/>
      <w:numFmt w:val="none"/>
      <w:isLgl w:val="false"/>
      <w:suff w:val="nothing"/>
      <w:lvlText w:val=""/>
      <w:lvlJc w:val="left"/>
      <w:pPr>
        <w:ind w:left="0" w:firstLine="0"/>
        <w:tabs>
          <w:tab w:val="num" w:pos="0" w:leader="none"/>
        </w:tabs>
      </w:pPr>
      <w:rPr>
        <w:rFonts w:cs="Times New Roman"/>
      </w:rPr>
    </w:lvl>
    <w:lvl w:ilvl="8">
      <w:start w:val="1"/>
      <w:numFmt w:val="none"/>
      <w:isLgl w:val="false"/>
      <w:suff w:val="nothing"/>
      <w:lvlText w:val=""/>
      <w:lvlJc w:val="left"/>
      <w:pPr>
        <w:ind w:left="1134" w:firstLine="0"/>
        <w:tabs>
          <w:tab w:val="num" w:pos="0" w:leader="none"/>
        </w:tabs>
      </w:pPr>
      <w:rPr>
        <w:rFonts w:cs="Times New Roman"/>
      </w:rPr>
    </w:lvl>
  </w:abstractNum>
  <w:abstractNum w:abstractNumId="35">
    <w:multiLevelType w:val="hybridMultilevel"/>
    <w:lvl w:ilvl="0">
      <w:start w:val="1"/>
      <w:numFmt w:val="decimal"/>
      <w:isLgl w:val="false"/>
      <w:suff w:val="tab"/>
      <w:lvlText w:val="%1."/>
      <w:lvlJc w:val="left"/>
      <w:pPr>
        <w:ind w:left="1134" w:hanging="1134"/>
        <w:tabs>
          <w:tab w:val="num" w:pos="0" w:leader="none"/>
        </w:tabs>
      </w:pPr>
      <w:rPr>
        <w:rFonts w:cs="Times New Roman"/>
      </w:rPr>
    </w:lvl>
    <w:lvl w:ilvl="1">
      <w:start w:val="1"/>
      <w:numFmt w:val="decimal"/>
      <w:isLgl w:val="false"/>
      <w:suff w:val="tab"/>
      <w:lvlText w:val="%1.%2."/>
      <w:lvlJc w:val="left"/>
      <w:pPr>
        <w:ind w:left="1134" w:hanging="1134"/>
        <w:tabs>
          <w:tab w:val="num" w:pos="0" w:leader="none"/>
        </w:tabs>
      </w:pPr>
      <w:rPr>
        <w:rFonts w:cs="Times New Roman"/>
      </w:rPr>
    </w:lvl>
    <w:lvl w:ilvl="2">
      <w:start w:val="1"/>
      <w:numFmt w:val="decimal"/>
      <w:isLgl w:val="false"/>
      <w:suff w:val="tab"/>
      <w:lvlText w:val="%1.%2.%3."/>
      <w:lvlJc w:val="left"/>
      <w:pPr>
        <w:ind w:left="1134" w:hanging="1134"/>
        <w:tabs>
          <w:tab w:val="num" w:pos="0" w:leader="none"/>
        </w:tabs>
      </w:pPr>
      <w:rPr>
        <w:rFonts w:cs="Times New Roman"/>
      </w:rPr>
    </w:lvl>
    <w:lvl w:ilvl="3">
      <w:start w:val="1"/>
      <w:numFmt w:val="russianLower"/>
      <w:isLgl w:val="false"/>
      <w:suff w:val="tab"/>
      <w:lvlText w:val="(%4)"/>
      <w:lvlJc w:val="left"/>
      <w:pPr>
        <w:ind w:left="1701" w:hanging="567"/>
        <w:tabs>
          <w:tab w:val="num" w:pos="0" w:leader="none"/>
        </w:tabs>
      </w:pPr>
      <w:rPr>
        <w:rFonts w:cs="Times New Roman"/>
      </w:rPr>
    </w:lvl>
    <w:lvl w:ilvl="4">
      <w:start w:val="1"/>
      <w:numFmt w:val="bullet"/>
      <w:isLgl w:val="false"/>
      <w:suff w:val="tab"/>
      <w:lvlText w:val="–"/>
      <w:lvlJc w:val="left"/>
      <w:pPr>
        <w:ind w:left="2268" w:hanging="567"/>
        <w:tabs>
          <w:tab w:val="num" w:pos="0" w:leader="none"/>
        </w:tabs>
      </w:pPr>
      <w:rPr>
        <w:rFonts w:hint="default" w:ascii="Times New Roman" w:hAnsi="Times New Roman" w:cs="Times New Roman"/>
      </w:rPr>
    </w:lvl>
    <w:lvl w:ilvl="5">
      <w:start w:val="1"/>
      <w:numFmt w:val="none"/>
      <w:isLgl w:val="false"/>
      <w:suff w:val="nothing"/>
      <w:lvlText w:val=""/>
      <w:lvlJc w:val="left"/>
      <w:pPr>
        <w:ind w:left="1134" w:firstLine="0"/>
        <w:tabs>
          <w:tab w:val="num" w:pos="0" w:leader="none"/>
        </w:tabs>
      </w:pPr>
      <w:rPr>
        <w:rFonts w:cs="Times New Roman"/>
      </w:rPr>
    </w:lvl>
    <w:lvl w:ilvl="6">
      <w:start w:val="1"/>
      <w:numFmt w:val="none"/>
      <w:isLgl w:val="false"/>
      <w:suff w:val="nothing"/>
      <w:lvlText w:val=""/>
      <w:lvlJc w:val="left"/>
      <w:pPr>
        <w:ind w:left="1701" w:firstLine="0"/>
        <w:tabs>
          <w:tab w:val="num" w:pos="0" w:leader="none"/>
        </w:tabs>
      </w:pPr>
      <w:rPr>
        <w:rFonts w:cs="Times New Roman"/>
      </w:rPr>
    </w:lvl>
    <w:lvl w:ilvl="7">
      <w:start w:val="1"/>
      <w:numFmt w:val="none"/>
      <w:isLgl w:val="false"/>
      <w:suff w:val="nothing"/>
      <w:lvlText w:val=""/>
      <w:lvlJc w:val="left"/>
      <w:pPr>
        <w:ind w:left="0" w:firstLine="0"/>
        <w:tabs>
          <w:tab w:val="num" w:pos="0" w:leader="none"/>
        </w:tabs>
      </w:pPr>
      <w:rPr>
        <w:rFonts w:cs="Times New Roman"/>
      </w:rPr>
    </w:lvl>
    <w:lvl w:ilvl="8">
      <w:start w:val="1"/>
      <w:numFmt w:val="none"/>
      <w:isLgl w:val="false"/>
      <w:suff w:val="nothing"/>
      <w:lvlText w:val=""/>
      <w:lvlJc w:val="left"/>
      <w:pPr>
        <w:ind w:left="1134" w:firstLine="0"/>
        <w:tabs>
          <w:tab w:val="num" w:pos="0" w:leader="none"/>
        </w:tabs>
      </w:pPr>
      <w:rPr>
        <w:rFonts w:cs="Times New Roman"/>
      </w:rPr>
    </w:lvl>
  </w:abstractNum>
  <w:abstractNum w:abstractNumId="36">
    <w:multiLevelType w:val="hybridMultilevel"/>
    <w:lvl w:ilvl="0">
      <w:start w:val="1"/>
      <w:numFmt w:val="decimal"/>
      <w:isLgl w:val="false"/>
      <w:suff w:val="tab"/>
      <w:lvlText w:val="%1."/>
      <w:lvlJc w:val="left"/>
      <w:pPr>
        <w:ind w:left="1134" w:hanging="1134"/>
        <w:tabs>
          <w:tab w:val="num" w:pos="0" w:leader="none"/>
        </w:tabs>
      </w:pPr>
    </w:lvl>
    <w:lvl w:ilvl="1">
      <w:start w:val="1"/>
      <w:numFmt w:val="decimal"/>
      <w:isLgl w:val="false"/>
      <w:suff w:val="tab"/>
      <w:lvlText w:val="%1.%2."/>
      <w:lvlJc w:val="left"/>
      <w:pPr>
        <w:ind w:left="1134" w:hanging="1134"/>
        <w:tabs>
          <w:tab w:val="num" w:pos="0" w:leader="none"/>
        </w:tabs>
      </w:pPr>
    </w:lvl>
    <w:lvl w:ilvl="2">
      <w:start w:val="1"/>
      <w:numFmt w:val="decimal"/>
      <w:isLgl w:val="false"/>
      <w:suff w:val="tab"/>
      <w:lvlText w:val="%1.%2.%3."/>
      <w:lvlJc w:val="left"/>
      <w:pPr>
        <w:ind w:left="1134" w:hanging="1134"/>
        <w:tabs>
          <w:tab w:val="num" w:pos="0" w:leader="none"/>
        </w:tabs>
      </w:pPr>
    </w:lvl>
    <w:lvl w:ilvl="3">
      <w:start w:val="1"/>
      <w:numFmt w:val="russianLower"/>
      <w:isLgl w:val="false"/>
      <w:suff w:val="tab"/>
      <w:lvlText w:val="(%4)"/>
      <w:lvlJc w:val="left"/>
      <w:pPr>
        <w:ind w:left="1985" w:hanging="567"/>
        <w:tabs>
          <w:tab w:val="num" w:pos="0" w:leader="none"/>
        </w:tabs>
      </w:pPr>
    </w:lvl>
    <w:lvl w:ilvl="4">
      <w:start w:val="1"/>
      <w:numFmt w:val="bullet"/>
      <w:isLgl w:val="false"/>
      <w:suff w:val="tab"/>
      <w:lvlText w:val="–"/>
      <w:lvlJc w:val="left"/>
      <w:pPr>
        <w:ind w:left="2268" w:hanging="567"/>
        <w:tabs>
          <w:tab w:val="num" w:pos="0" w:leader="none"/>
        </w:tabs>
      </w:pPr>
      <w:rPr>
        <w:rFonts w:hint="default" w:ascii="Times New Roman" w:hAnsi="Times New Roman" w:cs="Times New Roman"/>
      </w:rPr>
    </w:lvl>
    <w:lvl w:ilvl="5">
      <w:start w:val="1"/>
      <w:numFmt w:val="none"/>
      <w:isLgl w:val="false"/>
      <w:suff w:val="nothing"/>
      <w:lvlText w:val=""/>
      <w:lvlJc w:val="left"/>
      <w:pPr>
        <w:ind w:left="1134" w:firstLine="0"/>
        <w:tabs>
          <w:tab w:val="num" w:pos="0" w:leader="none"/>
        </w:tabs>
      </w:pPr>
    </w:lvl>
    <w:lvl w:ilvl="6">
      <w:start w:val="1"/>
      <w:numFmt w:val="none"/>
      <w:isLgl w:val="false"/>
      <w:suff w:val="nothing"/>
      <w:lvlText w:val=""/>
      <w:lvlJc w:val="left"/>
      <w:pPr>
        <w:ind w:left="1701" w:firstLine="0"/>
        <w:tabs>
          <w:tab w:val="num" w:pos="0" w:leader="none"/>
        </w:tabs>
      </w:pPr>
    </w:lvl>
    <w:lvl w:ilvl="7">
      <w:start w:val="1"/>
      <w:numFmt w:val="none"/>
      <w:isLgl w:val="false"/>
      <w:suff w:val="nothing"/>
      <w:lvlText w:val=""/>
      <w:lvlJc w:val="left"/>
      <w:pPr>
        <w:ind w:left="0" w:firstLine="0"/>
        <w:tabs>
          <w:tab w:val="num" w:pos="0" w:leader="none"/>
        </w:tabs>
      </w:pPr>
    </w:lvl>
    <w:lvl w:ilvl="8">
      <w:start w:val="1"/>
      <w:numFmt w:val="none"/>
      <w:isLgl w:val="false"/>
      <w:suff w:val="nothing"/>
      <w:lvlText w:val=""/>
      <w:lvlJc w:val="left"/>
      <w:pPr>
        <w:ind w:left="1134" w:firstLine="0"/>
        <w:tabs>
          <w:tab w:val="num" w:pos="0" w:leader="none"/>
        </w:tabs>
      </w:pPr>
    </w:lvl>
  </w:abstractNum>
  <w:abstractNum w:abstractNumId="37">
    <w:multiLevelType w:val="hybridMultilevel"/>
    <w:lvl w:ilvl="0">
      <w:start w:val="1"/>
      <w:numFmt w:val="decimal"/>
      <w:isLgl w:val="false"/>
      <w:suff w:val="tab"/>
      <w:lvlText w:val="%1."/>
      <w:lvlJc w:val="left"/>
      <w:pPr>
        <w:ind w:left="1134" w:hanging="1134"/>
        <w:tabs>
          <w:tab w:val="num" w:pos="0" w:leader="none"/>
        </w:tabs>
      </w:pPr>
      <w:rPr>
        <w:rFonts w:cs="Times New Roman"/>
      </w:rPr>
    </w:lvl>
    <w:lvl w:ilvl="1">
      <w:start w:val="1"/>
      <w:numFmt w:val="decimal"/>
      <w:isLgl w:val="false"/>
      <w:suff w:val="tab"/>
      <w:lvlText w:val="%1.%2."/>
      <w:lvlJc w:val="left"/>
      <w:pPr>
        <w:ind w:left="1134" w:hanging="1134"/>
        <w:tabs>
          <w:tab w:val="num" w:pos="0" w:leader="none"/>
        </w:tabs>
      </w:pPr>
      <w:rPr>
        <w:rFonts w:cs="Times New Roman"/>
      </w:rPr>
    </w:lvl>
    <w:lvl w:ilvl="2">
      <w:start w:val="1"/>
      <w:numFmt w:val="decimal"/>
      <w:isLgl w:val="false"/>
      <w:suff w:val="tab"/>
      <w:lvlText w:val="%1.%2.%3."/>
      <w:lvlJc w:val="left"/>
      <w:pPr>
        <w:ind w:left="1134" w:hanging="1134"/>
        <w:tabs>
          <w:tab w:val="num" w:pos="0" w:leader="none"/>
        </w:tabs>
      </w:pPr>
      <w:rPr>
        <w:rFonts w:cs="Times New Roman"/>
      </w:rPr>
    </w:lvl>
    <w:lvl w:ilvl="3">
      <w:start w:val="1"/>
      <w:numFmt w:val="russianLower"/>
      <w:isLgl w:val="false"/>
      <w:suff w:val="tab"/>
      <w:lvlText w:val="(%4)"/>
      <w:lvlJc w:val="left"/>
      <w:pPr>
        <w:ind w:left="1701" w:hanging="567"/>
        <w:tabs>
          <w:tab w:val="num" w:pos="0" w:leader="none"/>
        </w:tabs>
      </w:pPr>
      <w:rPr>
        <w:rFonts w:cs="Times New Roman"/>
      </w:rPr>
    </w:lvl>
    <w:lvl w:ilvl="4">
      <w:start w:val="1"/>
      <w:numFmt w:val="bullet"/>
      <w:isLgl w:val="false"/>
      <w:suff w:val="tab"/>
      <w:lvlText w:val="–"/>
      <w:lvlJc w:val="left"/>
      <w:pPr>
        <w:ind w:left="2268" w:hanging="567"/>
        <w:tabs>
          <w:tab w:val="num" w:pos="0" w:leader="none"/>
        </w:tabs>
      </w:pPr>
      <w:rPr>
        <w:rFonts w:hint="default" w:ascii="Times New Roman" w:hAnsi="Times New Roman" w:cs="Times New Roman"/>
      </w:rPr>
    </w:lvl>
    <w:lvl w:ilvl="5">
      <w:start w:val="1"/>
      <w:numFmt w:val="none"/>
      <w:isLgl w:val="false"/>
      <w:suff w:val="nothing"/>
      <w:lvlText w:val=""/>
      <w:lvlJc w:val="left"/>
      <w:pPr>
        <w:ind w:left="1134" w:firstLine="0"/>
        <w:tabs>
          <w:tab w:val="num" w:pos="0" w:leader="none"/>
        </w:tabs>
      </w:pPr>
      <w:rPr>
        <w:rFonts w:cs="Times New Roman"/>
      </w:rPr>
    </w:lvl>
    <w:lvl w:ilvl="6">
      <w:start w:val="1"/>
      <w:numFmt w:val="none"/>
      <w:isLgl w:val="false"/>
      <w:suff w:val="nothing"/>
      <w:lvlText w:val=""/>
      <w:lvlJc w:val="left"/>
      <w:pPr>
        <w:ind w:left="1701" w:firstLine="0"/>
        <w:tabs>
          <w:tab w:val="num" w:pos="0" w:leader="none"/>
        </w:tabs>
      </w:pPr>
      <w:rPr>
        <w:rFonts w:cs="Times New Roman"/>
      </w:rPr>
    </w:lvl>
    <w:lvl w:ilvl="7">
      <w:start w:val="1"/>
      <w:numFmt w:val="none"/>
      <w:isLgl w:val="false"/>
      <w:suff w:val="nothing"/>
      <w:lvlText w:val=""/>
      <w:lvlJc w:val="left"/>
      <w:pPr>
        <w:ind w:left="0" w:firstLine="0"/>
        <w:tabs>
          <w:tab w:val="num" w:pos="0" w:leader="none"/>
        </w:tabs>
      </w:pPr>
      <w:rPr>
        <w:rFonts w:cs="Times New Roman"/>
      </w:rPr>
    </w:lvl>
    <w:lvl w:ilvl="8">
      <w:start w:val="1"/>
      <w:numFmt w:val="none"/>
      <w:isLgl w:val="false"/>
      <w:suff w:val="nothing"/>
      <w:lvlText w:val=""/>
      <w:lvlJc w:val="left"/>
      <w:pPr>
        <w:ind w:left="1134" w:firstLine="0"/>
        <w:tabs>
          <w:tab w:val="num" w:pos="0" w:leader="none"/>
        </w:tabs>
      </w:pPr>
      <w:rPr>
        <w:rFonts w:cs="Times New Roman"/>
      </w:rPr>
    </w:lvl>
  </w:abstractNum>
  <w:abstractNum w:abstractNumId="38">
    <w:multiLevelType w:val="hybridMultilevel"/>
    <w:lvl w:ilvl="0">
      <w:start w:val="1"/>
      <w:numFmt w:val="decimal"/>
      <w:isLgl w:val="false"/>
      <w:suff w:val="tab"/>
      <w:lvlText w:val="%1."/>
      <w:lvlJc w:val="left"/>
      <w:pPr>
        <w:ind w:left="1134" w:hanging="1134"/>
        <w:tabs>
          <w:tab w:val="num" w:pos="0" w:leader="none"/>
        </w:tabs>
      </w:pPr>
      <w:rPr>
        <w:rFonts w:cs="Times New Roman"/>
      </w:rPr>
    </w:lvl>
    <w:lvl w:ilvl="1">
      <w:start w:val="1"/>
      <w:numFmt w:val="decimal"/>
      <w:isLgl w:val="false"/>
      <w:suff w:val="tab"/>
      <w:lvlText w:val="%1.%2."/>
      <w:lvlJc w:val="left"/>
      <w:pPr>
        <w:ind w:left="1134" w:hanging="1134"/>
        <w:tabs>
          <w:tab w:val="num" w:pos="0" w:leader="none"/>
        </w:tabs>
      </w:pPr>
      <w:rPr>
        <w:rFonts w:cs="Times New Roman"/>
      </w:rPr>
    </w:lvl>
    <w:lvl w:ilvl="2">
      <w:start w:val="1"/>
      <w:numFmt w:val="decimal"/>
      <w:isLgl w:val="false"/>
      <w:suff w:val="tab"/>
      <w:lvlText w:val="%1.%2.%3."/>
      <w:lvlJc w:val="left"/>
      <w:pPr>
        <w:ind w:left="1134" w:hanging="1134"/>
        <w:tabs>
          <w:tab w:val="num" w:pos="0" w:leader="none"/>
        </w:tabs>
      </w:pPr>
      <w:rPr>
        <w:rFonts w:cs="Times New Roman"/>
      </w:rPr>
    </w:lvl>
    <w:lvl w:ilvl="3">
      <w:start w:val="1"/>
      <w:numFmt w:val="russianLower"/>
      <w:isLgl w:val="false"/>
      <w:suff w:val="tab"/>
      <w:lvlText w:val="(%4)"/>
      <w:lvlJc w:val="left"/>
      <w:pPr>
        <w:ind w:left="1701" w:hanging="567"/>
        <w:tabs>
          <w:tab w:val="num" w:pos="0" w:leader="none"/>
        </w:tabs>
      </w:pPr>
      <w:rPr>
        <w:rFonts w:cs="Times New Roman"/>
      </w:rPr>
    </w:lvl>
    <w:lvl w:ilvl="4">
      <w:start w:val="1"/>
      <w:numFmt w:val="bullet"/>
      <w:isLgl w:val="false"/>
      <w:suff w:val="tab"/>
      <w:lvlText w:val="–"/>
      <w:lvlJc w:val="left"/>
      <w:pPr>
        <w:ind w:left="2268" w:hanging="567"/>
        <w:tabs>
          <w:tab w:val="num" w:pos="0" w:leader="none"/>
        </w:tabs>
      </w:pPr>
      <w:rPr>
        <w:rFonts w:hint="default" w:ascii="Times New Roman" w:hAnsi="Times New Roman" w:cs="Times New Roman"/>
      </w:rPr>
    </w:lvl>
    <w:lvl w:ilvl="5">
      <w:start w:val="1"/>
      <w:numFmt w:val="none"/>
      <w:isLgl w:val="false"/>
      <w:suff w:val="nothing"/>
      <w:lvlText w:val=""/>
      <w:lvlJc w:val="left"/>
      <w:pPr>
        <w:ind w:left="1134" w:firstLine="0"/>
        <w:tabs>
          <w:tab w:val="num" w:pos="0" w:leader="none"/>
        </w:tabs>
      </w:pPr>
      <w:rPr>
        <w:rFonts w:cs="Times New Roman"/>
      </w:rPr>
    </w:lvl>
    <w:lvl w:ilvl="6">
      <w:start w:val="1"/>
      <w:numFmt w:val="none"/>
      <w:isLgl w:val="false"/>
      <w:suff w:val="nothing"/>
      <w:lvlText w:val=""/>
      <w:lvlJc w:val="left"/>
      <w:pPr>
        <w:ind w:left="1701" w:firstLine="0"/>
        <w:tabs>
          <w:tab w:val="num" w:pos="0" w:leader="none"/>
        </w:tabs>
      </w:pPr>
      <w:rPr>
        <w:rFonts w:cs="Times New Roman"/>
      </w:rPr>
    </w:lvl>
    <w:lvl w:ilvl="7">
      <w:start w:val="1"/>
      <w:numFmt w:val="none"/>
      <w:isLgl w:val="false"/>
      <w:suff w:val="nothing"/>
      <w:lvlText w:val=""/>
      <w:lvlJc w:val="left"/>
      <w:pPr>
        <w:ind w:left="0" w:firstLine="0"/>
        <w:tabs>
          <w:tab w:val="num" w:pos="0" w:leader="none"/>
        </w:tabs>
      </w:pPr>
      <w:rPr>
        <w:rFonts w:cs="Times New Roman"/>
      </w:rPr>
    </w:lvl>
    <w:lvl w:ilvl="8">
      <w:start w:val="1"/>
      <w:numFmt w:val="none"/>
      <w:isLgl w:val="false"/>
      <w:suff w:val="nothing"/>
      <w:lvlText w:val=""/>
      <w:lvlJc w:val="left"/>
      <w:pPr>
        <w:ind w:left="1134" w:firstLine="0"/>
        <w:tabs>
          <w:tab w:val="num" w:pos="0" w:leader="none"/>
        </w:tabs>
      </w:pPr>
      <w:rPr>
        <w:rFonts w:cs="Times New Roman"/>
      </w:rPr>
    </w:lvl>
  </w:abstractNum>
  <w:abstractNum w:abstractNumId="39">
    <w:multiLevelType w:val="hybridMultilevel"/>
    <w:lvl w:ilvl="0">
      <w:start w:val="1"/>
      <w:numFmt w:val="decimal"/>
      <w:isLgl w:val="false"/>
      <w:suff w:val="tab"/>
      <w:lvlText w:val="%1."/>
      <w:lvlJc w:val="left"/>
      <w:pPr>
        <w:ind w:left="1134" w:hanging="1134"/>
        <w:tabs>
          <w:tab w:val="num" w:pos="0" w:leader="none"/>
        </w:tabs>
      </w:pPr>
      <w:rPr>
        <w:rFonts w:cs="Times New Roman"/>
      </w:rPr>
    </w:lvl>
    <w:lvl w:ilvl="1">
      <w:start w:val="1"/>
      <w:numFmt w:val="decimal"/>
      <w:isLgl w:val="false"/>
      <w:suff w:val="tab"/>
      <w:lvlText w:val="%1.%2."/>
      <w:lvlJc w:val="left"/>
      <w:pPr>
        <w:ind w:left="1134" w:hanging="1134"/>
        <w:tabs>
          <w:tab w:val="num" w:pos="0" w:leader="none"/>
        </w:tabs>
      </w:pPr>
      <w:rPr>
        <w:rFonts w:cs="Times New Roman"/>
      </w:rPr>
    </w:lvl>
    <w:lvl w:ilvl="2">
      <w:start w:val="1"/>
      <w:numFmt w:val="decimal"/>
      <w:isLgl w:val="false"/>
      <w:suff w:val="tab"/>
      <w:lvlText w:val="%1.%2.%3."/>
      <w:lvlJc w:val="left"/>
      <w:pPr>
        <w:ind w:left="1134" w:hanging="1134"/>
        <w:tabs>
          <w:tab w:val="num" w:pos="0" w:leader="none"/>
        </w:tabs>
      </w:pPr>
      <w:rPr>
        <w:rFonts w:cs="Times New Roman"/>
      </w:rPr>
    </w:lvl>
    <w:lvl w:ilvl="3">
      <w:start w:val="1"/>
      <w:numFmt w:val="russianLower"/>
      <w:isLgl w:val="false"/>
      <w:suff w:val="tab"/>
      <w:lvlText w:val="(%4)"/>
      <w:lvlJc w:val="left"/>
      <w:pPr>
        <w:ind w:left="1701" w:hanging="567"/>
        <w:tabs>
          <w:tab w:val="num" w:pos="0" w:leader="none"/>
        </w:tabs>
      </w:pPr>
      <w:rPr>
        <w:rFonts w:cs="Times New Roman"/>
      </w:rPr>
    </w:lvl>
    <w:lvl w:ilvl="4">
      <w:start w:val="1"/>
      <w:numFmt w:val="bullet"/>
      <w:isLgl w:val="false"/>
      <w:suff w:val="tab"/>
      <w:lvlText w:val="–"/>
      <w:lvlJc w:val="left"/>
      <w:pPr>
        <w:ind w:left="2268" w:hanging="567"/>
        <w:tabs>
          <w:tab w:val="num" w:pos="0" w:leader="none"/>
        </w:tabs>
      </w:pPr>
      <w:rPr>
        <w:rFonts w:hint="default" w:ascii="Times New Roman" w:hAnsi="Times New Roman" w:cs="Times New Roman"/>
      </w:rPr>
    </w:lvl>
    <w:lvl w:ilvl="5">
      <w:start w:val="1"/>
      <w:numFmt w:val="none"/>
      <w:isLgl w:val="false"/>
      <w:suff w:val="nothing"/>
      <w:lvlText w:val=""/>
      <w:lvlJc w:val="left"/>
      <w:pPr>
        <w:ind w:left="1134" w:firstLine="0"/>
        <w:tabs>
          <w:tab w:val="num" w:pos="0" w:leader="none"/>
        </w:tabs>
      </w:pPr>
      <w:rPr>
        <w:rFonts w:cs="Times New Roman"/>
      </w:rPr>
    </w:lvl>
    <w:lvl w:ilvl="6">
      <w:start w:val="1"/>
      <w:numFmt w:val="none"/>
      <w:isLgl w:val="false"/>
      <w:suff w:val="nothing"/>
      <w:lvlText w:val=""/>
      <w:lvlJc w:val="left"/>
      <w:pPr>
        <w:ind w:left="1701" w:firstLine="0"/>
        <w:tabs>
          <w:tab w:val="num" w:pos="0" w:leader="none"/>
        </w:tabs>
      </w:pPr>
      <w:rPr>
        <w:rFonts w:cs="Times New Roman"/>
      </w:rPr>
    </w:lvl>
    <w:lvl w:ilvl="7">
      <w:start w:val="1"/>
      <w:numFmt w:val="none"/>
      <w:isLgl w:val="false"/>
      <w:suff w:val="nothing"/>
      <w:lvlText w:val=""/>
      <w:lvlJc w:val="left"/>
      <w:pPr>
        <w:ind w:left="0" w:firstLine="0"/>
        <w:tabs>
          <w:tab w:val="num" w:pos="0" w:leader="none"/>
        </w:tabs>
      </w:pPr>
      <w:rPr>
        <w:rFonts w:cs="Times New Roman"/>
      </w:rPr>
    </w:lvl>
    <w:lvl w:ilvl="8">
      <w:start w:val="1"/>
      <w:numFmt w:val="none"/>
      <w:isLgl w:val="false"/>
      <w:suff w:val="nothing"/>
      <w:lvlText w:val=""/>
      <w:lvlJc w:val="left"/>
      <w:pPr>
        <w:ind w:left="1134" w:firstLine="0"/>
        <w:tabs>
          <w:tab w:val="num" w:pos="0" w:leader="none"/>
        </w:tabs>
      </w:pPr>
      <w:rPr>
        <w:rFonts w:cs="Times New Roman"/>
      </w:rPr>
    </w:lvl>
  </w:abstractNum>
  <w:abstractNum w:abstractNumId="40">
    <w:multiLevelType w:val="hybridMultilevel"/>
    <w:lvl w:ilvl="0">
      <w:start w:val="1"/>
      <w:numFmt w:val="decimal"/>
      <w:isLgl w:val="false"/>
      <w:suff w:val="tab"/>
      <w:lvlText w:val="%1."/>
      <w:lvlJc w:val="left"/>
      <w:pPr>
        <w:ind w:left="1134" w:hanging="1134"/>
        <w:tabs>
          <w:tab w:val="num" w:pos="0" w:leader="none"/>
        </w:tabs>
      </w:pPr>
      <w:rPr>
        <w:rFonts w:cs="Times New Roman"/>
      </w:rPr>
    </w:lvl>
    <w:lvl w:ilvl="1">
      <w:start w:val="1"/>
      <w:numFmt w:val="decimal"/>
      <w:isLgl w:val="false"/>
      <w:suff w:val="tab"/>
      <w:lvlText w:val="%1.%2."/>
      <w:lvlJc w:val="left"/>
      <w:pPr>
        <w:ind w:left="1134" w:hanging="1134"/>
        <w:tabs>
          <w:tab w:val="num" w:pos="0" w:leader="none"/>
        </w:tabs>
      </w:pPr>
      <w:rPr>
        <w:rFonts w:cs="Times New Roman"/>
      </w:rPr>
    </w:lvl>
    <w:lvl w:ilvl="2">
      <w:start w:val="1"/>
      <w:numFmt w:val="decimal"/>
      <w:isLgl w:val="false"/>
      <w:suff w:val="tab"/>
      <w:lvlText w:val="%1.%2.%3."/>
      <w:lvlJc w:val="left"/>
      <w:pPr>
        <w:ind w:left="1134" w:hanging="1134"/>
        <w:tabs>
          <w:tab w:val="num" w:pos="0" w:leader="none"/>
        </w:tabs>
      </w:pPr>
      <w:rPr>
        <w:rFonts w:cs="Times New Roman"/>
      </w:rPr>
    </w:lvl>
    <w:lvl w:ilvl="3">
      <w:start w:val="1"/>
      <w:numFmt w:val="russianLower"/>
      <w:isLgl w:val="false"/>
      <w:suff w:val="tab"/>
      <w:lvlText w:val="(%4)"/>
      <w:lvlJc w:val="left"/>
      <w:pPr>
        <w:ind w:left="1701" w:hanging="567"/>
        <w:tabs>
          <w:tab w:val="num" w:pos="0" w:leader="none"/>
        </w:tabs>
      </w:pPr>
      <w:rPr>
        <w:rFonts w:cs="Times New Roman"/>
      </w:rPr>
    </w:lvl>
    <w:lvl w:ilvl="4">
      <w:start w:val="1"/>
      <w:numFmt w:val="bullet"/>
      <w:isLgl w:val="false"/>
      <w:suff w:val="tab"/>
      <w:lvlText w:val="–"/>
      <w:lvlJc w:val="left"/>
      <w:pPr>
        <w:ind w:left="2268" w:hanging="567"/>
        <w:tabs>
          <w:tab w:val="num" w:pos="0" w:leader="none"/>
        </w:tabs>
      </w:pPr>
      <w:rPr>
        <w:rFonts w:hint="default" w:ascii="Times New Roman" w:hAnsi="Times New Roman" w:cs="Times New Roman"/>
      </w:rPr>
    </w:lvl>
    <w:lvl w:ilvl="5">
      <w:start w:val="1"/>
      <w:numFmt w:val="none"/>
      <w:isLgl w:val="false"/>
      <w:suff w:val="nothing"/>
      <w:lvlText w:val=""/>
      <w:lvlJc w:val="left"/>
      <w:pPr>
        <w:ind w:left="1134" w:firstLine="0"/>
        <w:tabs>
          <w:tab w:val="num" w:pos="0" w:leader="none"/>
        </w:tabs>
      </w:pPr>
      <w:rPr>
        <w:rFonts w:cs="Times New Roman"/>
      </w:rPr>
    </w:lvl>
    <w:lvl w:ilvl="6">
      <w:start w:val="1"/>
      <w:numFmt w:val="none"/>
      <w:isLgl w:val="false"/>
      <w:suff w:val="nothing"/>
      <w:lvlText w:val=""/>
      <w:lvlJc w:val="left"/>
      <w:pPr>
        <w:ind w:left="1701" w:firstLine="0"/>
        <w:tabs>
          <w:tab w:val="num" w:pos="0" w:leader="none"/>
        </w:tabs>
      </w:pPr>
      <w:rPr>
        <w:rFonts w:cs="Times New Roman"/>
      </w:rPr>
    </w:lvl>
    <w:lvl w:ilvl="7">
      <w:start w:val="1"/>
      <w:numFmt w:val="none"/>
      <w:isLgl w:val="false"/>
      <w:suff w:val="nothing"/>
      <w:lvlText w:val=""/>
      <w:lvlJc w:val="left"/>
      <w:pPr>
        <w:ind w:left="0" w:firstLine="0"/>
        <w:tabs>
          <w:tab w:val="num" w:pos="0" w:leader="none"/>
        </w:tabs>
      </w:pPr>
      <w:rPr>
        <w:rFonts w:cs="Times New Roman"/>
      </w:rPr>
    </w:lvl>
    <w:lvl w:ilvl="8">
      <w:start w:val="1"/>
      <w:numFmt w:val="none"/>
      <w:isLgl w:val="false"/>
      <w:suff w:val="nothing"/>
      <w:lvlText w:val=""/>
      <w:lvlJc w:val="left"/>
      <w:pPr>
        <w:ind w:left="1134" w:firstLine="0"/>
        <w:tabs>
          <w:tab w:val="num" w:pos="0" w:leader="none"/>
        </w:tabs>
      </w:pPr>
      <w:rPr>
        <w:rFonts w:cs="Times New Roman"/>
      </w:rPr>
    </w:lvl>
  </w:abstractNum>
  <w:abstractNum w:abstractNumId="41">
    <w:multiLevelType w:val="hybridMultilevel"/>
    <w:lvl w:ilvl="0">
      <w:start w:val="1"/>
      <w:numFmt w:val="decimal"/>
      <w:isLgl w:val="false"/>
      <w:suff w:val="tab"/>
      <w:lvlText w:val="%1."/>
      <w:lvlJc w:val="left"/>
      <w:pPr>
        <w:ind w:left="0" w:firstLine="0"/>
        <w:tabs>
          <w:tab w:val="num" w:pos="0" w:leader="none"/>
        </w:tabs>
      </w:pPr>
    </w:lvl>
    <w:lvl w:ilvl="1">
      <w:start w:val="1"/>
      <w:numFmt w:val="decimal"/>
      <w:isLgl w:val="false"/>
      <w:suff w:val="tab"/>
      <w:lvlText w:val="%1.%2."/>
      <w:lvlJc w:val="left"/>
      <w:pPr>
        <w:ind w:left="0" w:firstLine="0"/>
        <w:tabs>
          <w:tab w:val="num" w:pos="0" w:leader="none"/>
        </w:tabs>
      </w:pPr>
    </w:lvl>
    <w:lvl w:ilvl="2">
      <w:start w:val="1"/>
      <w:numFmt w:val="decimal"/>
      <w:isLgl w:val="false"/>
      <w:suff w:val="tab"/>
      <w:lvlText w:val="%1.%2.%3."/>
      <w:lvlJc w:val="left"/>
      <w:pPr>
        <w:ind w:left="0" w:firstLine="0"/>
        <w:tabs>
          <w:tab w:val="num" w:pos="0" w:leader="none"/>
        </w:tabs>
      </w:pPr>
    </w:lvl>
    <w:lvl w:ilvl="3">
      <w:start w:val="1"/>
      <w:numFmt w:val="decimal"/>
      <w:isLgl w:val="false"/>
      <w:suff w:val="tab"/>
      <w:lvlText w:val="(%4)"/>
      <w:lvlJc w:val="left"/>
      <w:pPr>
        <w:ind w:left="0" w:firstLine="0"/>
        <w:tabs>
          <w:tab w:val="num" w:pos="0" w:leader="none"/>
        </w:tabs>
      </w:pPr>
    </w:lvl>
    <w:lvl w:ilvl="4">
      <w:start w:val="1"/>
      <w:numFmt w:val="bullet"/>
      <w:isLgl w:val="false"/>
      <w:suff w:val="tab"/>
      <w:lvlText w:val="–"/>
      <w:lvlJc w:val="left"/>
      <w:pPr>
        <w:ind w:left="0" w:firstLine="0"/>
        <w:tabs>
          <w:tab w:val="num" w:pos="0" w:leader="none"/>
        </w:tabs>
      </w:pPr>
      <w:rPr>
        <w:rFonts w:hint="default" w:ascii="Times New Roman" w:hAnsi="Times New Roman" w:cs="Times New Roman"/>
      </w:rPr>
    </w:lvl>
    <w:lvl w:ilvl="5">
      <w:start w:val="1"/>
      <w:numFmt w:val="none"/>
      <w:isLgl w:val="false"/>
      <w:suff w:val="nothing"/>
      <w:lvlText w:val="%6"/>
      <w:lvlJc w:val="left"/>
      <w:pPr>
        <w:ind w:left="0" w:firstLine="0"/>
        <w:tabs>
          <w:tab w:val="num" w:pos="0" w:leader="none"/>
        </w:tabs>
      </w:pPr>
    </w:lvl>
    <w:lvl w:ilvl="6">
      <w:start w:val="1"/>
      <w:numFmt w:val="none"/>
      <w:isLgl w:val="false"/>
      <w:suff w:val="nothing"/>
      <w:lvlText w:val="%7"/>
      <w:lvlJc w:val="left"/>
      <w:pPr>
        <w:ind w:left="0" w:firstLine="0"/>
        <w:tabs>
          <w:tab w:val="num" w:pos="0" w:leader="none"/>
        </w:tabs>
      </w:pPr>
    </w:lvl>
    <w:lvl w:ilvl="7">
      <w:start w:val="1"/>
      <w:numFmt w:val="none"/>
      <w:isLgl w:val="false"/>
      <w:suff w:val="nothing"/>
      <w:lvlText w:val="%8"/>
      <w:lvlJc w:val="left"/>
      <w:pPr>
        <w:ind w:left="0" w:firstLine="0"/>
        <w:tabs>
          <w:tab w:val="num" w:pos="0" w:leader="none"/>
        </w:tabs>
      </w:pPr>
    </w:lvl>
    <w:lvl w:ilvl="8">
      <w:start w:val="1"/>
      <w:numFmt w:val="none"/>
      <w:isLgl w:val="false"/>
      <w:suff w:val="nothing"/>
      <w:lvlText w:val="%9"/>
      <w:lvlJc w:val="left"/>
      <w:pPr>
        <w:ind w:left="0" w:firstLine="0"/>
        <w:tabs>
          <w:tab w:val="num" w:pos="0" w:leader="none"/>
        </w:tabs>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autoHyphenation w:val="true"/>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imes New Roman" w:hAnsi="Times New Roman" w:eastAsiaTheme="minorHAnsi" w:cstheme="minorBidi"/>
        <w:sz w:val="26"/>
        <w:szCs w:val="22"/>
        <w:lang w:val="ru-RU" w:eastAsia="en-US"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1271" w:default="1">
    <w:name w:val="Normal"/>
    <w:qFormat/>
    <w:pPr>
      <w:jc w:val="left"/>
      <w:spacing w:before="120" w:beforeAutospacing="0" w:after="0" w:afterAutospacing="0" w:line="240" w:lineRule="auto"/>
      <w:widowControl/>
    </w:pPr>
    <w:rPr>
      <w:rFonts w:ascii="Times New Roman" w:hAnsi="Times New Roman" w:eastAsia="Calibri" w:cs="Arial" w:eastAsiaTheme="minorHAnsi" w:cstheme="minorBidi"/>
      <w:color w:val="auto"/>
      <w:sz w:val="26"/>
      <w:szCs w:val="22"/>
      <w:lang w:val="ru-RU" w:eastAsia="en-US" w:bidi="ar-SA"/>
    </w:rPr>
  </w:style>
  <w:style w:type="paragraph" w:styleId="1272">
    <w:name w:val="Heading 1"/>
    <w:basedOn w:val="1271"/>
    <w:next w:val="1271"/>
    <w:link w:val="1281"/>
    <w:uiPriority w:val="9"/>
    <w:qFormat/>
    <w:pPr>
      <w:keepLines/>
      <w:keepNext/>
      <w:spacing w:before="480" w:after="200"/>
      <w:outlineLvl w:val="0"/>
    </w:pPr>
    <w:rPr>
      <w:rFonts w:ascii="Arial" w:hAnsi="Arial" w:eastAsia="Arial" w:cs="Arial"/>
      <w:sz w:val="40"/>
      <w:szCs w:val="40"/>
    </w:rPr>
  </w:style>
  <w:style w:type="paragraph" w:styleId="1273">
    <w:name w:val="Heading 2"/>
    <w:basedOn w:val="1271"/>
    <w:next w:val="1271"/>
    <w:link w:val="1282"/>
    <w:uiPriority w:val="9"/>
    <w:unhideWhenUsed/>
    <w:qFormat/>
    <w:pPr>
      <w:keepLines/>
      <w:keepNext/>
      <w:spacing w:before="360" w:after="200"/>
      <w:outlineLvl w:val="1"/>
    </w:pPr>
    <w:rPr>
      <w:rFonts w:ascii="Arial" w:hAnsi="Arial" w:eastAsia="Arial" w:cs="Arial"/>
      <w:sz w:val="34"/>
    </w:rPr>
  </w:style>
  <w:style w:type="paragraph" w:styleId="1274">
    <w:name w:val="Heading 3"/>
    <w:basedOn w:val="1271"/>
    <w:next w:val="1271"/>
    <w:link w:val="1283"/>
    <w:uiPriority w:val="9"/>
    <w:unhideWhenUsed/>
    <w:qFormat/>
    <w:pPr>
      <w:keepLines/>
      <w:keepNext/>
      <w:spacing w:before="320" w:after="200"/>
      <w:outlineLvl w:val="2"/>
    </w:pPr>
    <w:rPr>
      <w:rFonts w:ascii="Arial" w:hAnsi="Arial" w:eastAsia="Arial" w:cs="Arial"/>
      <w:sz w:val="30"/>
      <w:szCs w:val="30"/>
    </w:rPr>
  </w:style>
  <w:style w:type="paragraph" w:styleId="1275">
    <w:name w:val="Heading 4"/>
    <w:basedOn w:val="1271"/>
    <w:next w:val="1271"/>
    <w:link w:val="1284"/>
    <w:uiPriority w:val="9"/>
    <w:unhideWhenUsed/>
    <w:qFormat/>
    <w:pPr>
      <w:keepLines/>
      <w:keepNext/>
      <w:spacing w:before="320" w:after="200"/>
      <w:outlineLvl w:val="3"/>
    </w:pPr>
    <w:rPr>
      <w:rFonts w:ascii="Arial" w:hAnsi="Arial" w:eastAsia="Arial" w:cs="Arial"/>
      <w:b/>
      <w:bCs/>
      <w:sz w:val="26"/>
      <w:szCs w:val="26"/>
    </w:rPr>
  </w:style>
  <w:style w:type="paragraph" w:styleId="1276">
    <w:name w:val="Heading 5"/>
    <w:basedOn w:val="1271"/>
    <w:next w:val="1271"/>
    <w:link w:val="1285"/>
    <w:uiPriority w:val="9"/>
    <w:unhideWhenUsed/>
    <w:qFormat/>
    <w:pPr>
      <w:keepLines/>
      <w:keepNext/>
      <w:spacing w:before="320" w:after="200"/>
      <w:outlineLvl w:val="4"/>
    </w:pPr>
    <w:rPr>
      <w:rFonts w:ascii="Arial" w:hAnsi="Arial" w:eastAsia="Arial" w:cs="Arial"/>
      <w:b/>
      <w:bCs/>
      <w:sz w:val="24"/>
      <w:szCs w:val="24"/>
    </w:rPr>
  </w:style>
  <w:style w:type="paragraph" w:styleId="1277">
    <w:name w:val="Heading 6"/>
    <w:basedOn w:val="1271"/>
    <w:next w:val="1271"/>
    <w:link w:val="1286"/>
    <w:uiPriority w:val="9"/>
    <w:unhideWhenUsed/>
    <w:qFormat/>
    <w:pPr>
      <w:keepLines/>
      <w:keepNext/>
      <w:spacing w:before="320" w:after="200"/>
      <w:outlineLvl w:val="5"/>
    </w:pPr>
    <w:rPr>
      <w:rFonts w:ascii="Arial" w:hAnsi="Arial" w:eastAsia="Arial" w:cs="Arial"/>
      <w:b/>
      <w:bCs/>
      <w:sz w:val="22"/>
      <w:szCs w:val="22"/>
    </w:rPr>
  </w:style>
  <w:style w:type="paragraph" w:styleId="1278">
    <w:name w:val="Heading 7"/>
    <w:basedOn w:val="1271"/>
    <w:next w:val="1271"/>
    <w:link w:val="1287"/>
    <w:uiPriority w:val="9"/>
    <w:unhideWhenUsed/>
    <w:qFormat/>
    <w:pPr>
      <w:keepLines/>
      <w:keepNext/>
      <w:spacing w:before="320" w:after="200"/>
      <w:outlineLvl w:val="6"/>
    </w:pPr>
    <w:rPr>
      <w:rFonts w:ascii="Arial" w:hAnsi="Arial" w:eastAsia="Arial" w:cs="Arial"/>
      <w:b/>
      <w:bCs/>
      <w:i/>
      <w:iCs/>
      <w:sz w:val="22"/>
      <w:szCs w:val="22"/>
    </w:rPr>
  </w:style>
  <w:style w:type="paragraph" w:styleId="1279">
    <w:name w:val="Heading 8"/>
    <w:basedOn w:val="1271"/>
    <w:next w:val="1271"/>
    <w:link w:val="1288"/>
    <w:uiPriority w:val="9"/>
    <w:unhideWhenUsed/>
    <w:qFormat/>
    <w:pPr>
      <w:keepLines/>
      <w:keepNext/>
      <w:spacing w:before="320" w:after="200"/>
      <w:outlineLvl w:val="7"/>
    </w:pPr>
    <w:rPr>
      <w:rFonts w:ascii="Arial" w:hAnsi="Arial" w:eastAsia="Arial" w:cs="Arial"/>
      <w:i/>
      <w:iCs/>
      <w:sz w:val="22"/>
      <w:szCs w:val="22"/>
    </w:rPr>
  </w:style>
  <w:style w:type="paragraph" w:styleId="1280">
    <w:name w:val="Heading 9"/>
    <w:basedOn w:val="1271"/>
    <w:next w:val="1271"/>
    <w:link w:val="1289"/>
    <w:uiPriority w:val="9"/>
    <w:unhideWhenUsed/>
    <w:qFormat/>
    <w:pPr>
      <w:keepLines/>
      <w:keepNext/>
      <w:spacing w:before="320" w:after="200"/>
      <w:outlineLvl w:val="8"/>
    </w:pPr>
    <w:rPr>
      <w:rFonts w:ascii="Arial" w:hAnsi="Arial" w:eastAsia="Arial" w:cs="Arial"/>
      <w:i/>
      <w:iCs/>
      <w:sz w:val="21"/>
      <w:szCs w:val="21"/>
    </w:rPr>
  </w:style>
  <w:style w:type="character" w:styleId="1281">
    <w:name w:val="Heading 1 Char"/>
    <w:basedOn w:val="1301"/>
    <w:uiPriority w:val="9"/>
    <w:qFormat/>
    <w:rPr>
      <w:rFonts w:ascii="Arial" w:hAnsi="Arial" w:eastAsia="Arial" w:cs="Arial"/>
      <w:sz w:val="40"/>
      <w:szCs w:val="40"/>
    </w:rPr>
  </w:style>
  <w:style w:type="character" w:styleId="1282">
    <w:name w:val="Heading 2 Char"/>
    <w:basedOn w:val="1301"/>
    <w:uiPriority w:val="9"/>
    <w:qFormat/>
    <w:rPr>
      <w:rFonts w:ascii="Arial" w:hAnsi="Arial" w:eastAsia="Arial" w:cs="Arial"/>
      <w:sz w:val="34"/>
    </w:rPr>
  </w:style>
  <w:style w:type="character" w:styleId="1283">
    <w:name w:val="Heading 3 Char"/>
    <w:basedOn w:val="1301"/>
    <w:uiPriority w:val="9"/>
    <w:qFormat/>
    <w:rPr>
      <w:rFonts w:ascii="Arial" w:hAnsi="Arial" w:eastAsia="Arial" w:cs="Arial"/>
      <w:sz w:val="30"/>
      <w:szCs w:val="30"/>
    </w:rPr>
  </w:style>
  <w:style w:type="character" w:styleId="1284">
    <w:name w:val="Heading 4 Char"/>
    <w:basedOn w:val="1301"/>
    <w:uiPriority w:val="9"/>
    <w:qFormat/>
    <w:rPr>
      <w:rFonts w:ascii="Arial" w:hAnsi="Arial" w:eastAsia="Arial" w:cs="Arial"/>
      <w:b/>
      <w:bCs/>
      <w:sz w:val="26"/>
      <w:szCs w:val="26"/>
    </w:rPr>
  </w:style>
  <w:style w:type="character" w:styleId="1285">
    <w:name w:val="Heading 5 Char"/>
    <w:basedOn w:val="1301"/>
    <w:uiPriority w:val="9"/>
    <w:qFormat/>
    <w:rPr>
      <w:rFonts w:ascii="Arial" w:hAnsi="Arial" w:eastAsia="Arial" w:cs="Arial"/>
      <w:b/>
      <w:bCs/>
      <w:sz w:val="24"/>
      <w:szCs w:val="24"/>
    </w:rPr>
  </w:style>
  <w:style w:type="character" w:styleId="1286">
    <w:name w:val="Heading 6 Char"/>
    <w:basedOn w:val="1301"/>
    <w:uiPriority w:val="9"/>
    <w:qFormat/>
    <w:rPr>
      <w:rFonts w:ascii="Arial" w:hAnsi="Arial" w:eastAsia="Arial" w:cs="Arial"/>
      <w:b/>
      <w:bCs/>
      <w:sz w:val="22"/>
      <w:szCs w:val="22"/>
    </w:rPr>
  </w:style>
  <w:style w:type="character" w:styleId="1287">
    <w:name w:val="Heading 7 Char"/>
    <w:basedOn w:val="1301"/>
    <w:uiPriority w:val="9"/>
    <w:qFormat/>
    <w:rPr>
      <w:rFonts w:ascii="Arial" w:hAnsi="Arial" w:eastAsia="Arial" w:cs="Arial"/>
      <w:b/>
      <w:bCs/>
      <w:i/>
      <w:iCs/>
      <w:sz w:val="22"/>
      <w:szCs w:val="22"/>
    </w:rPr>
  </w:style>
  <w:style w:type="character" w:styleId="1288">
    <w:name w:val="Heading 8 Char"/>
    <w:basedOn w:val="1301"/>
    <w:uiPriority w:val="9"/>
    <w:qFormat/>
    <w:rPr>
      <w:rFonts w:ascii="Arial" w:hAnsi="Arial" w:eastAsia="Arial" w:cs="Arial"/>
      <w:i/>
      <w:iCs/>
      <w:sz w:val="22"/>
      <w:szCs w:val="22"/>
    </w:rPr>
  </w:style>
  <w:style w:type="character" w:styleId="1289">
    <w:name w:val="Heading 9 Char"/>
    <w:basedOn w:val="1301"/>
    <w:uiPriority w:val="9"/>
    <w:qFormat/>
    <w:rPr>
      <w:rFonts w:ascii="Arial" w:hAnsi="Arial" w:eastAsia="Arial" w:cs="Arial"/>
      <w:i/>
      <w:iCs/>
      <w:sz w:val="21"/>
      <w:szCs w:val="21"/>
    </w:rPr>
  </w:style>
  <w:style w:type="character" w:styleId="1290">
    <w:name w:val="Title Char"/>
    <w:basedOn w:val="1301"/>
    <w:uiPriority w:val="10"/>
    <w:qFormat/>
    <w:rPr>
      <w:sz w:val="48"/>
      <w:szCs w:val="48"/>
    </w:rPr>
  </w:style>
  <w:style w:type="character" w:styleId="1291">
    <w:name w:val="Subtitle Char"/>
    <w:basedOn w:val="1301"/>
    <w:uiPriority w:val="11"/>
    <w:qFormat/>
    <w:rPr>
      <w:sz w:val="24"/>
      <w:szCs w:val="24"/>
    </w:rPr>
  </w:style>
  <w:style w:type="character" w:styleId="1292">
    <w:name w:val="Quote Char"/>
    <w:link w:val="1330"/>
    <w:uiPriority w:val="29"/>
    <w:qFormat/>
    <w:rPr>
      <w:i/>
    </w:rPr>
  </w:style>
  <w:style w:type="character" w:styleId="1293">
    <w:name w:val="Intense Quote Char"/>
    <w:link w:val="1331"/>
    <w:uiPriority w:val="30"/>
    <w:qFormat/>
    <w:rPr>
      <w:i/>
    </w:rPr>
  </w:style>
  <w:style w:type="character" w:styleId="1294">
    <w:name w:val="Header Char"/>
    <w:basedOn w:val="1301"/>
    <w:uiPriority w:val="99"/>
    <w:qFormat/>
  </w:style>
  <w:style w:type="character" w:styleId="1295">
    <w:name w:val="Footer Char"/>
    <w:basedOn w:val="1301"/>
    <w:uiPriority w:val="99"/>
    <w:qFormat/>
  </w:style>
  <w:style w:type="character" w:styleId="1296">
    <w:name w:val="Caption Char"/>
    <w:basedOn w:val="1301"/>
    <w:uiPriority w:val="35"/>
    <w:qFormat/>
    <w:rPr>
      <w:b/>
      <w:bCs/>
      <w:color w:val="4f81bd" w:themeColor="accent1"/>
      <w:sz w:val="18"/>
      <w:szCs w:val="18"/>
    </w:rPr>
  </w:style>
  <w:style w:type="character" w:styleId="1297">
    <w:name w:val="Footnote Text Char"/>
    <w:link w:val="1375"/>
    <w:uiPriority w:val="99"/>
    <w:qFormat/>
    <w:rPr>
      <w:sz w:val="18"/>
    </w:rPr>
  </w:style>
  <w:style w:type="character" w:styleId="1298">
    <w:name w:val="Endnote Text Char"/>
    <w:uiPriority w:val="99"/>
    <w:qFormat/>
    <w:rPr>
      <w:sz w:val="20"/>
    </w:rPr>
  </w:style>
  <w:style w:type="character" w:styleId="1299">
    <w:name w:val="Символ концевой сноски"/>
    <w:basedOn w:val="1301"/>
    <w:uiPriority w:val="99"/>
    <w:semiHidden/>
    <w:unhideWhenUsed/>
    <w:qFormat/>
    <w:rPr>
      <w:vertAlign w:val="superscript"/>
    </w:rPr>
  </w:style>
  <w:style w:type="character" w:styleId="1300">
    <w:name w:val="endnote reference"/>
    <w:rPr>
      <w:vertAlign w:val="superscript"/>
    </w:rPr>
  </w:style>
  <w:style w:type="character" w:styleId="1301" w:default="1">
    <w:name w:val="Default Paragraph Font"/>
    <w:uiPriority w:val="1"/>
    <w:semiHidden/>
    <w:unhideWhenUsed/>
    <w:qFormat/>
  </w:style>
  <w:style w:type="character" w:styleId="1302" w:customStyle="1">
    <w:name w:val="Верхний колонтитул Знак"/>
    <w:basedOn w:val="1301"/>
    <w:uiPriority w:val="99"/>
    <w:qFormat/>
  </w:style>
  <w:style w:type="character" w:styleId="1303" w:customStyle="1">
    <w:name w:val="Нижний колонтитул Знак"/>
    <w:basedOn w:val="1301"/>
    <w:uiPriority w:val="99"/>
    <w:qFormat/>
  </w:style>
  <w:style w:type="character" w:styleId="1304" w:customStyle="1">
    <w:name w:val="[РГ] Инструкция для организатора"/>
    <w:basedOn w:val="1301"/>
    <w:uiPriority w:val="1"/>
    <w:qFormat/>
    <w:rPr>
      <w:i/>
      <w:iCs/>
      <w:shd w:val="clear" w:color="auto" w:fill="ffff99"/>
      <w:lang w:val="ru-RU"/>
    </w:rPr>
  </w:style>
  <w:style w:type="character" w:styleId="1305" w:customStyle="1">
    <w:name w:val="Текст сноски Знак"/>
    <w:basedOn w:val="1301"/>
    <w:link w:val="1375"/>
    <w:uiPriority w:val="99"/>
    <w:semiHidden/>
    <w:qFormat/>
    <w:rPr>
      <w:sz w:val="20"/>
      <w:szCs w:val="20"/>
    </w:rPr>
  </w:style>
  <w:style w:type="character" w:styleId="1306" w:customStyle="1">
    <w:name w:val="Символ сноски"/>
    <w:qFormat/>
    <w:rPr>
      <w:vertAlign w:val="superscript"/>
    </w:rPr>
  </w:style>
  <w:style w:type="character" w:styleId="1307">
    <w:name w:val="footnote reference"/>
    <w:rPr>
      <w:vertAlign w:val="superscript"/>
    </w:rPr>
  </w:style>
  <w:style w:type="character" w:styleId="1308">
    <w:name w:val="Hyperlink"/>
    <w:basedOn w:val="1301"/>
    <w:uiPriority w:val="99"/>
    <w:unhideWhenUsed/>
    <w:rPr>
      <w:color w:val="0563c1" w:themeColor="hyperlink"/>
      <w:u w:val="single"/>
    </w:rPr>
  </w:style>
  <w:style w:type="character" w:styleId="1309">
    <w:name w:val="Unresolved Mention"/>
    <w:basedOn w:val="1301"/>
    <w:uiPriority w:val="99"/>
    <w:semiHidden/>
    <w:unhideWhenUsed/>
    <w:qFormat/>
    <w:rPr>
      <w:color w:val="605e5c"/>
      <w:shd w:val="clear" w:color="auto" w:fill="e1dfdd"/>
    </w:rPr>
  </w:style>
  <w:style w:type="character" w:styleId="1310">
    <w:name w:val="Placeholder Text"/>
    <w:basedOn w:val="1301"/>
    <w:uiPriority w:val="99"/>
    <w:semiHidden/>
    <w:qFormat/>
    <w:rPr>
      <w:color w:val="808080"/>
    </w:rPr>
  </w:style>
  <w:style w:type="character" w:styleId="1311" w:customStyle="1">
    <w:name w:val="[РГ] Отсылка"/>
    <w:basedOn w:val="1301"/>
    <w:uiPriority w:val="1"/>
    <w:qFormat/>
    <w:rPr>
      <w:color w:val="000000"/>
      <w:spacing w:val="0"/>
      <w:u w:val="single"/>
      <w:shd w:val="clear" w:color="auto" w:fill="auto"/>
      <w:lang w:val="ru-RU"/>
    </w:rPr>
  </w:style>
  <w:style w:type="character" w:styleId="1312">
    <w:name w:val="annotation reference"/>
    <w:basedOn w:val="1301"/>
    <w:unhideWhenUsed/>
    <w:qFormat/>
    <w:rPr>
      <w:sz w:val="16"/>
      <w:szCs w:val="16"/>
    </w:rPr>
  </w:style>
  <w:style w:type="character" w:styleId="1313" w:customStyle="1">
    <w:name w:val="Текст примечания Знак"/>
    <w:basedOn w:val="1301"/>
    <w:link w:val="1357"/>
    <w:uiPriority w:val="99"/>
    <w:qFormat/>
    <w:rPr>
      <w:sz w:val="20"/>
      <w:szCs w:val="20"/>
    </w:rPr>
  </w:style>
  <w:style w:type="character" w:styleId="1314" w:customStyle="1">
    <w:name w:val="Тема примечания Знак"/>
    <w:basedOn w:val="1313"/>
    <w:link w:val="1358"/>
    <w:uiPriority w:val="99"/>
    <w:semiHidden/>
    <w:qFormat/>
    <w:rPr>
      <w:b/>
      <w:bCs/>
      <w:sz w:val="20"/>
      <w:szCs w:val="20"/>
    </w:rPr>
  </w:style>
  <w:style w:type="character" w:styleId="1315" w:customStyle="1">
    <w:name w:val="[РГ] Инструкция для участника"/>
    <w:basedOn w:val="1301"/>
    <w:uiPriority w:val="1"/>
    <w:qFormat/>
    <w:rPr>
      <w:i/>
      <w:shd w:val="clear" w:color="auto" w:fill="d0cece"/>
      <w:lang w:val="ru-RU"/>
    </w:rPr>
  </w:style>
  <w:style w:type="character" w:styleId="1316">
    <w:name w:val="FollowedHyperlink"/>
    <w:basedOn w:val="1301"/>
    <w:uiPriority w:val="99"/>
    <w:semiHidden/>
    <w:unhideWhenUsed/>
    <w:rPr>
      <w:color w:val="954f72" w:themeColor="followedHyperlink"/>
      <w:u w:val="single"/>
    </w:rPr>
  </w:style>
  <w:style w:type="character" w:styleId="1317" w:customStyle="1">
    <w:name w:val="Текст выноски Знак"/>
    <w:basedOn w:val="1301"/>
    <w:link w:val="1362"/>
    <w:uiPriority w:val="99"/>
    <w:semiHidden/>
    <w:qFormat/>
    <w:rPr>
      <w:rFonts w:ascii="Segoe UI" w:hAnsi="Segoe UI" w:cs="Segoe UI"/>
      <w:sz w:val="18"/>
      <w:szCs w:val="18"/>
    </w:rPr>
  </w:style>
  <w:style w:type="character" w:styleId="1318" w:customStyle="1">
    <w:name w:val="РГ_ЕПоЗ_а) Знак"/>
    <w:basedOn w:val="1301"/>
    <w:link w:val="1365"/>
    <w:qFormat/>
    <w:rPr>
      <w:rFonts w:eastAsia="Calibri" w:cs="Times New Roman"/>
      <w:sz w:val="28"/>
      <w:szCs w:val="28"/>
    </w:rPr>
  </w:style>
  <w:style w:type="character" w:styleId="1319" w:customStyle="1">
    <w:name w:val="РГ_ЕПоЗ_- Знак"/>
    <w:basedOn w:val="1301"/>
    <w:link w:val="1366"/>
    <w:qFormat/>
    <w:rPr>
      <w:rFonts w:eastAsia="Times New Roman" w:cs="Times New Roman"/>
      <w:sz w:val="28"/>
      <w:szCs w:val="20"/>
      <w:lang w:eastAsia="ru-RU"/>
    </w:rPr>
  </w:style>
  <w:style w:type="character" w:styleId="1320" w:customStyle="1">
    <w:name w:val="комментарий"/>
    <w:qFormat/>
    <w:rPr>
      <w:b/>
      <w:i/>
      <w:shd w:val="clear" w:color="auto" w:fill="ffff99"/>
    </w:rPr>
  </w:style>
  <w:style w:type="character" w:styleId="1321">
    <w:name w:val="Ссылка указателя"/>
    <w:qFormat/>
  </w:style>
  <w:style w:type="paragraph" w:styleId="1322">
    <w:name w:val="Заголовок"/>
    <w:basedOn w:val="1271"/>
    <w:next w:val="1323"/>
    <w:qFormat/>
    <w:pPr>
      <w:keepNext/>
      <w:spacing w:before="240" w:after="120"/>
    </w:pPr>
    <w:rPr>
      <w:rFonts w:ascii="Liberation Sans" w:hAnsi="Liberation Sans" w:eastAsia="Noto Sans CJK SC" w:cs="Arial Unicode MS"/>
      <w:sz w:val="28"/>
      <w:szCs w:val="28"/>
    </w:rPr>
  </w:style>
  <w:style w:type="paragraph" w:styleId="1323">
    <w:name w:val="Body Text"/>
    <w:basedOn w:val="1271"/>
    <w:pPr>
      <w:spacing w:before="0" w:after="140" w:line="276" w:lineRule="auto"/>
    </w:pPr>
  </w:style>
  <w:style w:type="paragraph" w:styleId="1324">
    <w:name w:val="List"/>
    <w:basedOn w:val="1323"/>
    <w:rPr>
      <w:rFonts w:cs="Arial Unicode MS"/>
    </w:rPr>
  </w:style>
  <w:style w:type="paragraph" w:styleId="1325">
    <w:name w:val="Caption"/>
    <w:basedOn w:val="1271"/>
    <w:next w:val="1271"/>
    <w:link w:val="1296"/>
    <w:uiPriority w:val="35"/>
    <w:semiHidden/>
    <w:unhideWhenUsed/>
    <w:qFormat/>
    <w:pPr>
      <w:spacing w:line="276" w:lineRule="auto"/>
    </w:pPr>
    <w:rPr>
      <w:b/>
      <w:bCs/>
      <w:color w:val="4f81bd" w:themeColor="accent1"/>
      <w:sz w:val="18"/>
      <w:szCs w:val="18"/>
    </w:rPr>
  </w:style>
  <w:style w:type="paragraph" w:styleId="1326">
    <w:name w:val="Указатель"/>
    <w:basedOn w:val="1271"/>
    <w:qFormat/>
    <w:pPr>
      <w:suppressLineNumbers/>
    </w:pPr>
    <w:rPr>
      <w:rFonts w:cs="Arial Unicode MS"/>
    </w:rPr>
  </w:style>
  <w:style w:type="paragraph" w:styleId="1327">
    <w:name w:val="No Spacing"/>
    <w:uiPriority w:val="1"/>
    <w:qFormat/>
    <w:pPr>
      <w:jc w:val="left"/>
      <w:spacing w:before="0" w:beforeAutospacing="0" w:after="0" w:afterAutospacing="0" w:line="240" w:lineRule="auto"/>
      <w:widowControl/>
    </w:pPr>
    <w:rPr>
      <w:rFonts w:ascii="Times New Roman" w:hAnsi="Times New Roman" w:eastAsia="Calibri" w:cs="Arial" w:eastAsiaTheme="minorHAnsi" w:cstheme="minorBidi"/>
      <w:color w:val="auto"/>
      <w:sz w:val="26"/>
      <w:szCs w:val="22"/>
      <w:lang w:val="ru-RU" w:eastAsia="en-US" w:bidi="ar-SA"/>
    </w:rPr>
  </w:style>
  <w:style w:type="paragraph" w:styleId="1328">
    <w:name w:val="Title"/>
    <w:basedOn w:val="1271"/>
    <w:next w:val="1271"/>
    <w:link w:val="1290"/>
    <w:uiPriority w:val="10"/>
    <w:qFormat/>
    <w:pPr>
      <w:contextualSpacing/>
      <w:spacing w:before="300" w:after="200"/>
    </w:pPr>
    <w:rPr>
      <w:sz w:val="48"/>
      <w:szCs w:val="48"/>
    </w:rPr>
  </w:style>
  <w:style w:type="paragraph" w:styleId="1329">
    <w:name w:val="Subtitle"/>
    <w:basedOn w:val="1271"/>
    <w:next w:val="1271"/>
    <w:link w:val="1291"/>
    <w:uiPriority w:val="11"/>
    <w:qFormat/>
    <w:pPr>
      <w:spacing w:before="200" w:after="200"/>
    </w:pPr>
    <w:rPr>
      <w:sz w:val="24"/>
      <w:szCs w:val="24"/>
    </w:rPr>
  </w:style>
  <w:style w:type="paragraph" w:styleId="1330">
    <w:name w:val="Quote"/>
    <w:basedOn w:val="1271"/>
    <w:next w:val="1271"/>
    <w:link w:val="1292"/>
    <w:uiPriority w:val="29"/>
    <w:qFormat/>
    <w:pPr>
      <w:ind w:left="720" w:right="720" w:firstLine="0"/>
    </w:pPr>
    <w:rPr>
      <w:i/>
    </w:rPr>
  </w:style>
  <w:style w:type="paragraph" w:styleId="1331">
    <w:name w:val="Intense Quote"/>
    <w:basedOn w:val="1271"/>
    <w:next w:val="1271"/>
    <w:link w:val="1293"/>
    <w:uiPriority w:val="30"/>
    <w:qFormat/>
    <w:pPr>
      <w:ind w:left="720" w:right="720" w:firstLine="0"/>
      <w:spacing w:before="120" w:after="0"/>
      <w:shd w:val="clear" w:color="auto" w:fill="f2f2f2"/>
      <w:pBdr>
        <w:top w:val="single" w:color="FFFFFF" w:sz="4" w:space="5"/>
        <w:left w:val="single" w:color="FFFFFF" w:sz="4" w:space="10"/>
        <w:bottom w:val="single" w:color="FFFFFF" w:sz="4" w:space="5"/>
        <w:right w:val="single" w:color="FFFFFF" w:sz="4" w:space="10"/>
      </w:pBdr>
    </w:pPr>
    <w:rPr>
      <w:i/>
    </w:rPr>
  </w:style>
  <w:style w:type="paragraph" w:styleId="1332">
    <w:name w:val="endnote text"/>
    <w:basedOn w:val="1271"/>
    <w:link w:val="1298"/>
    <w:uiPriority w:val="99"/>
    <w:semiHidden/>
    <w:unhideWhenUsed/>
    <w:pPr>
      <w:spacing w:before="120" w:after="0" w:line="240" w:lineRule="auto"/>
    </w:pPr>
    <w:rPr>
      <w:sz w:val="20"/>
    </w:rPr>
  </w:style>
  <w:style w:type="paragraph" w:styleId="1333">
    <w:name w:val="Index Heading"/>
    <w:basedOn w:val="1322"/>
  </w:style>
  <w:style w:type="paragraph" w:styleId="1334">
    <w:name w:val="TOC Heading"/>
    <w:uiPriority w:val="39"/>
    <w:unhideWhenUsed/>
    <w:qFormat/>
    <w:pPr>
      <w:jc w:val="left"/>
      <w:spacing w:before="120" w:beforeAutospacing="0" w:after="0" w:afterAutospacing="0" w:line="240" w:lineRule="auto"/>
      <w:widowControl/>
    </w:pPr>
    <w:rPr>
      <w:rFonts w:ascii="Times New Roman" w:hAnsi="Times New Roman" w:eastAsia="Calibri" w:cs="Arial" w:eastAsiaTheme="minorHAnsi" w:cstheme="minorBidi"/>
      <w:color w:val="auto"/>
      <w:sz w:val="26"/>
      <w:szCs w:val="22"/>
      <w:lang w:val="ru-RU" w:eastAsia="en-US" w:bidi="ar-SA"/>
    </w:rPr>
  </w:style>
  <w:style w:type="paragraph" w:styleId="1335">
    <w:name w:val="table of figures"/>
    <w:basedOn w:val="1271"/>
    <w:next w:val="1271"/>
    <w:uiPriority w:val="99"/>
    <w:unhideWhenUsed/>
    <w:qFormat/>
    <w:pPr>
      <w:spacing w:before="120" w:after="0" w:afterAutospacing="0"/>
    </w:pPr>
  </w:style>
  <w:style w:type="paragraph" w:styleId="1336" w:customStyle="1">
    <w:name w:val="[РГ] Раздел"/>
    <w:basedOn w:val="1271"/>
    <w:next w:val="1337"/>
    <w:qFormat/>
    <w:pPr>
      <w:numPr>
        <w:ilvl w:val="0"/>
        <w:numId w:val="1"/>
      </w:numPr>
      <w:jc w:val="both"/>
      <w:keepNext/>
      <w:pageBreakBefore/>
      <w:spacing w:before="0" w:after="360"/>
      <w:outlineLvl w:val="0"/>
    </w:pPr>
    <w:rPr>
      <w:b/>
      <w:bCs/>
      <w:caps/>
    </w:rPr>
  </w:style>
  <w:style w:type="paragraph" w:styleId="1337" w:customStyle="1">
    <w:name w:val="[РГ] Подраздел"/>
    <w:basedOn w:val="1271"/>
    <w:next w:val="1338"/>
    <w:qFormat/>
    <w:pPr>
      <w:numPr>
        <w:ilvl w:val="1"/>
        <w:numId w:val="1"/>
      </w:numPr>
      <w:jc w:val="both"/>
      <w:keepNext/>
      <w:spacing w:before="360" w:after="0"/>
      <w:outlineLvl w:val="1"/>
    </w:pPr>
    <w:rPr>
      <w:b/>
      <w:bCs/>
    </w:rPr>
  </w:style>
  <w:style w:type="paragraph" w:styleId="1338" w:customStyle="1">
    <w:name w:val="[РГ] Пункт"/>
    <w:basedOn w:val="1271"/>
    <w:qFormat/>
    <w:pPr>
      <w:numPr>
        <w:ilvl w:val="2"/>
        <w:numId w:val="1"/>
      </w:numPr>
      <w:jc w:val="both"/>
      <w:outlineLvl w:val="2"/>
    </w:pPr>
  </w:style>
  <w:style w:type="paragraph" w:styleId="1339" w:customStyle="1">
    <w:name w:val="[РГ] Подпункт"/>
    <w:basedOn w:val="1271"/>
    <w:qFormat/>
    <w:pPr>
      <w:numPr>
        <w:ilvl w:val="3"/>
        <w:numId w:val="1"/>
      </w:numPr>
      <w:jc w:val="both"/>
      <w:outlineLvl w:val="3"/>
    </w:pPr>
  </w:style>
  <w:style w:type="paragraph" w:styleId="1340" w:customStyle="1">
    <w:name w:val="[РГ] Перечисление"/>
    <w:basedOn w:val="1271"/>
    <w:qFormat/>
    <w:pPr>
      <w:numPr>
        <w:ilvl w:val="4"/>
        <w:numId w:val="1"/>
      </w:numPr>
      <w:jc w:val="both"/>
      <w:outlineLvl w:val="4"/>
    </w:pPr>
  </w:style>
  <w:style w:type="paragraph" w:styleId="1341" w:customStyle="1">
    <w:name w:val="[РГ] Заголовок"/>
    <w:basedOn w:val="1271"/>
    <w:next w:val="1342"/>
    <w:qFormat/>
    <w:pPr>
      <w:jc w:val="both"/>
      <w:keepNext/>
      <w:pageBreakBefore/>
      <w:spacing w:before="0" w:after="360"/>
    </w:pPr>
    <w:rPr>
      <w:b/>
      <w:bCs/>
      <w:caps/>
    </w:rPr>
  </w:style>
  <w:style w:type="paragraph" w:styleId="1342" w:customStyle="1">
    <w:name w:val="[РГ] Текст"/>
    <w:basedOn w:val="1271"/>
    <w:qFormat/>
    <w:pPr>
      <w:jc w:val="both"/>
    </w:pPr>
  </w:style>
  <w:style w:type="paragraph" w:styleId="1343">
    <w:name w:val="Колонтитул"/>
    <w:basedOn w:val="1271"/>
    <w:qFormat/>
  </w:style>
  <w:style w:type="paragraph" w:styleId="1344">
    <w:name w:val="Header"/>
    <w:basedOn w:val="1271"/>
    <w:link w:val="1302"/>
    <w:uiPriority w:val="99"/>
    <w:unhideWhenUsed/>
    <w:pPr>
      <w:jc w:val="center"/>
      <w:spacing w:before="0" w:after="120"/>
    </w:pPr>
  </w:style>
  <w:style w:type="paragraph" w:styleId="1345">
    <w:name w:val="Footer"/>
    <w:basedOn w:val="1271"/>
    <w:link w:val="1303"/>
    <w:uiPriority w:val="99"/>
    <w:unhideWhenUsed/>
    <w:pPr>
      <w:jc w:val="right"/>
    </w:pPr>
  </w:style>
  <w:style w:type="paragraph" w:styleId="1346">
    <w:name w:val="footnote text"/>
    <w:basedOn w:val="1271"/>
    <w:link w:val="1305"/>
    <w:uiPriority w:val="99"/>
    <w:semiHidden/>
    <w:unhideWhenUsed/>
    <w:pPr>
      <w:spacing w:before="0" w:after="0"/>
    </w:pPr>
    <w:rPr>
      <w:sz w:val="20"/>
      <w:szCs w:val="20"/>
    </w:rPr>
  </w:style>
  <w:style w:type="paragraph" w:styleId="1347" w:customStyle="1">
    <w:name w:val="[РГ] Сноска"/>
    <w:basedOn w:val="1346"/>
    <w:qFormat/>
    <w:pPr>
      <w:ind w:left="567" w:hanging="567"/>
      <w:jc w:val="both"/>
      <w:spacing w:before="80" w:after="0"/>
    </w:pPr>
    <w:rPr>
      <w:sz w:val="22"/>
    </w:rPr>
  </w:style>
  <w:style w:type="paragraph" w:styleId="1348">
    <w:name w:val="toc 2"/>
    <w:basedOn w:val="1271"/>
    <w:next w:val="1271"/>
    <w:uiPriority w:val="39"/>
    <w:unhideWhenUsed/>
    <w:pPr>
      <w:ind w:left="851" w:hanging="851"/>
      <w:spacing w:before="120" w:after="120"/>
      <w:tabs>
        <w:tab w:val="clear" w:pos="708" w:leader="none"/>
        <w:tab w:val="left" w:pos="851" w:leader="none"/>
        <w:tab w:val="right" w:pos="9923" w:leader="none"/>
      </w:tabs>
    </w:pPr>
  </w:style>
  <w:style w:type="paragraph" w:styleId="1349">
    <w:name w:val="toc 1"/>
    <w:basedOn w:val="1271"/>
    <w:next w:val="1271"/>
    <w:uiPriority w:val="39"/>
    <w:unhideWhenUsed/>
    <w:pPr>
      <w:ind w:left="851" w:hanging="851"/>
      <w:keepNext/>
      <w:spacing w:before="120" w:after="120"/>
      <w:tabs>
        <w:tab w:val="clear" w:pos="708" w:leader="none"/>
        <w:tab w:val="left" w:pos="851" w:leader="none"/>
        <w:tab w:val="right" w:pos="9923" w:leader="none"/>
      </w:tabs>
    </w:pPr>
    <w:rPr>
      <w:b/>
      <w:caps/>
    </w:rPr>
  </w:style>
  <w:style w:type="paragraph" w:styleId="1350">
    <w:name w:val="toc 3"/>
    <w:basedOn w:val="1271"/>
    <w:next w:val="1271"/>
    <w:uiPriority w:val="39"/>
    <w:unhideWhenUsed/>
    <w:pPr>
      <w:ind w:left="440" w:firstLine="0"/>
      <w:spacing w:before="0" w:after="100" w:line="259" w:lineRule="auto"/>
    </w:pPr>
    <w:rPr>
      <w:rFonts w:ascii="Calibri" w:hAnsi="Calibri" w:eastAsia="Arial" w:asciiTheme="minorHAnsi" w:hAnsiTheme="minorHAnsi" w:eastAsiaTheme="minorEastAsia"/>
      <w:sz w:val="22"/>
      <w:lang w:eastAsia="ru-RU"/>
    </w:rPr>
  </w:style>
  <w:style w:type="paragraph" w:styleId="1351">
    <w:name w:val="toc 4"/>
    <w:basedOn w:val="1271"/>
    <w:next w:val="1271"/>
    <w:uiPriority w:val="39"/>
    <w:unhideWhenUsed/>
    <w:pPr>
      <w:ind w:left="660" w:firstLine="0"/>
      <w:spacing w:before="0" w:after="100" w:line="259" w:lineRule="auto"/>
    </w:pPr>
    <w:rPr>
      <w:rFonts w:ascii="Calibri" w:hAnsi="Calibri" w:eastAsia="Arial" w:asciiTheme="minorHAnsi" w:hAnsiTheme="minorHAnsi" w:eastAsiaTheme="minorEastAsia"/>
      <w:sz w:val="22"/>
      <w:lang w:eastAsia="ru-RU"/>
    </w:rPr>
  </w:style>
  <w:style w:type="paragraph" w:styleId="1352">
    <w:name w:val="toc 5"/>
    <w:basedOn w:val="1271"/>
    <w:next w:val="1271"/>
    <w:uiPriority w:val="39"/>
    <w:unhideWhenUsed/>
    <w:pPr>
      <w:ind w:left="880" w:firstLine="0"/>
      <w:spacing w:before="0" w:after="100" w:line="259" w:lineRule="auto"/>
    </w:pPr>
    <w:rPr>
      <w:rFonts w:ascii="Calibri" w:hAnsi="Calibri" w:eastAsia="Arial" w:asciiTheme="minorHAnsi" w:hAnsiTheme="minorHAnsi" w:eastAsiaTheme="minorEastAsia"/>
      <w:sz w:val="22"/>
      <w:lang w:eastAsia="ru-RU"/>
    </w:rPr>
  </w:style>
  <w:style w:type="paragraph" w:styleId="1353">
    <w:name w:val="toc 6"/>
    <w:basedOn w:val="1271"/>
    <w:next w:val="1271"/>
    <w:uiPriority w:val="39"/>
    <w:unhideWhenUsed/>
    <w:pPr>
      <w:ind w:left="1100" w:firstLine="0"/>
      <w:spacing w:before="0" w:after="100" w:line="259" w:lineRule="auto"/>
    </w:pPr>
    <w:rPr>
      <w:rFonts w:ascii="Calibri" w:hAnsi="Calibri" w:eastAsia="Arial" w:asciiTheme="minorHAnsi" w:hAnsiTheme="minorHAnsi" w:eastAsiaTheme="minorEastAsia"/>
      <w:sz w:val="22"/>
      <w:lang w:eastAsia="ru-RU"/>
    </w:rPr>
  </w:style>
  <w:style w:type="paragraph" w:styleId="1354">
    <w:name w:val="toc 7"/>
    <w:basedOn w:val="1271"/>
    <w:next w:val="1271"/>
    <w:uiPriority w:val="39"/>
    <w:unhideWhenUsed/>
    <w:pPr>
      <w:ind w:left="1320" w:firstLine="0"/>
      <w:spacing w:before="0" w:after="100" w:line="259" w:lineRule="auto"/>
    </w:pPr>
    <w:rPr>
      <w:rFonts w:ascii="Calibri" w:hAnsi="Calibri" w:eastAsia="Arial" w:asciiTheme="minorHAnsi" w:hAnsiTheme="minorHAnsi" w:eastAsiaTheme="minorEastAsia"/>
      <w:sz w:val="22"/>
      <w:lang w:eastAsia="ru-RU"/>
    </w:rPr>
  </w:style>
  <w:style w:type="paragraph" w:styleId="1355">
    <w:name w:val="toc 8"/>
    <w:basedOn w:val="1271"/>
    <w:next w:val="1271"/>
    <w:uiPriority w:val="39"/>
    <w:unhideWhenUsed/>
    <w:pPr>
      <w:ind w:left="1540" w:firstLine="0"/>
      <w:spacing w:before="0" w:after="100" w:line="259" w:lineRule="auto"/>
    </w:pPr>
    <w:rPr>
      <w:rFonts w:ascii="Calibri" w:hAnsi="Calibri" w:eastAsia="Arial" w:asciiTheme="minorHAnsi" w:hAnsiTheme="minorHAnsi" w:eastAsiaTheme="minorEastAsia"/>
      <w:sz w:val="22"/>
      <w:lang w:eastAsia="ru-RU"/>
    </w:rPr>
  </w:style>
  <w:style w:type="paragraph" w:styleId="1356">
    <w:name w:val="toc 9"/>
    <w:basedOn w:val="1271"/>
    <w:next w:val="1271"/>
    <w:uiPriority w:val="39"/>
    <w:unhideWhenUsed/>
    <w:pPr>
      <w:ind w:left="1760" w:firstLine="0"/>
      <w:spacing w:before="0" w:after="100" w:line="259" w:lineRule="auto"/>
    </w:pPr>
    <w:rPr>
      <w:rFonts w:ascii="Calibri" w:hAnsi="Calibri" w:eastAsia="Arial" w:asciiTheme="minorHAnsi" w:hAnsiTheme="minorHAnsi" w:eastAsiaTheme="minorEastAsia"/>
      <w:sz w:val="22"/>
      <w:lang w:eastAsia="ru-RU"/>
    </w:rPr>
  </w:style>
  <w:style w:type="paragraph" w:styleId="1357">
    <w:name w:val="annotation text"/>
    <w:basedOn w:val="1271"/>
    <w:link w:val="1313"/>
    <w:uiPriority w:val="99"/>
    <w:unhideWhenUsed/>
    <w:qFormat/>
    <w:rPr>
      <w:sz w:val="20"/>
      <w:szCs w:val="20"/>
    </w:rPr>
  </w:style>
  <w:style w:type="paragraph" w:styleId="1358">
    <w:name w:val="annotation subject"/>
    <w:basedOn w:val="1357"/>
    <w:next w:val="1357"/>
    <w:link w:val="1314"/>
    <w:uiPriority w:val="99"/>
    <w:semiHidden/>
    <w:unhideWhenUsed/>
    <w:qFormat/>
    <w:rPr>
      <w:b/>
      <w:bCs/>
    </w:rPr>
  </w:style>
  <w:style w:type="paragraph" w:styleId="1359" w:customStyle="1">
    <w:name w:val="[РГ] Альтернатива / Дополнение"/>
    <w:basedOn w:val="1342"/>
    <w:next w:val="1342"/>
    <w:qFormat/>
    <w:rPr>
      <w:i/>
      <w:shd w:val="clear" w:color="auto" w:fill="ccecff"/>
    </w:rPr>
  </w:style>
  <w:style w:type="paragraph" w:styleId="1360">
    <w:name w:val="Revision"/>
    <w:uiPriority w:val="99"/>
    <w:semiHidden/>
    <w:qFormat/>
    <w:pPr>
      <w:jc w:val="left"/>
      <w:spacing w:before="0" w:beforeAutospacing="0" w:after="0" w:afterAutospacing="0" w:line="240" w:lineRule="auto"/>
      <w:widowControl/>
    </w:pPr>
    <w:rPr>
      <w:rFonts w:ascii="Times New Roman" w:hAnsi="Times New Roman" w:eastAsia="Calibri" w:cs="Arial" w:eastAsiaTheme="minorHAnsi" w:cstheme="minorBidi"/>
      <w:color w:val="auto"/>
      <w:sz w:val="26"/>
      <w:szCs w:val="22"/>
      <w:lang w:val="ru-RU" w:eastAsia="en-US" w:bidi="ar-SA"/>
    </w:rPr>
  </w:style>
  <w:style w:type="paragraph" w:styleId="1361">
    <w:name w:val="List Paragraph"/>
    <w:basedOn w:val="1271"/>
    <w:uiPriority w:val="34"/>
    <w:qFormat/>
    <w:pPr>
      <w:contextualSpacing/>
      <w:ind w:left="720" w:firstLine="0"/>
      <w:spacing w:before="120" w:after="0"/>
    </w:pPr>
  </w:style>
  <w:style w:type="paragraph" w:styleId="1362">
    <w:name w:val="Balloon Text"/>
    <w:basedOn w:val="1271"/>
    <w:link w:val="1317"/>
    <w:uiPriority w:val="99"/>
    <w:semiHidden/>
    <w:unhideWhenUsed/>
    <w:qFormat/>
    <w:pPr>
      <w:spacing w:before="0" w:after="0"/>
    </w:pPr>
    <w:rPr>
      <w:rFonts w:ascii="Segoe UI" w:hAnsi="Segoe UI" w:cs="Segoe UI"/>
      <w:sz w:val="18"/>
      <w:szCs w:val="18"/>
    </w:rPr>
  </w:style>
  <w:style w:type="paragraph" w:styleId="1363" w:customStyle="1">
    <w:name w:val="РГ_ЕПоЗ_1."/>
    <w:basedOn w:val="1271"/>
    <w:qFormat/>
    <w:pPr>
      <w:numPr>
        <w:ilvl w:val="0"/>
        <w:numId w:val="18"/>
      </w:numPr>
      <w:jc w:val="both"/>
      <w:keepNext/>
      <w:spacing w:before="480" w:after="0"/>
      <w:tabs>
        <w:tab w:val="clear" w:pos="708" w:leader="none"/>
        <w:tab w:val="left" w:pos="1418" w:leader="none"/>
      </w:tabs>
      <w:outlineLvl w:val="0"/>
    </w:pPr>
    <w:rPr>
      <w:rFonts w:eastAsia="Times New Roman" w:cs="Times New Roman"/>
      <w:b/>
      <w:sz w:val="28"/>
      <w:szCs w:val="28"/>
      <w:lang w:eastAsia="ru-RU"/>
    </w:rPr>
  </w:style>
  <w:style w:type="paragraph" w:styleId="1364" w:customStyle="1">
    <w:name w:val="РГ_ЕПоЗ_1.1"/>
    <w:basedOn w:val="1271"/>
    <w:qFormat/>
    <w:pPr>
      <w:numPr>
        <w:ilvl w:val="1"/>
        <w:numId w:val="18"/>
      </w:numPr>
      <w:ind w:left="1134" w:hanging="567"/>
      <w:jc w:val="both"/>
      <w:keepNext/>
      <w:spacing w:before="360" w:after="0"/>
      <w:tabs>
        <w:tab w:val="clear" w:pos="708" w:leader="none"/>
        <w:tab w:val="left" w:pos="1418" w:leader="none"/>
      </w:tabs>
      <w:outlineLvl w:val="1"/>
    </w:pPr>
    <w:rPr>
      <w:rFonts w:eastAsia="Times New Roman" w:cs="Times New Roman"/>
      <w:b/>
      <w:sz w:val="28"/>
      <w:szCs w:val="28"/>
      <w:lang w:eastAsia="ru-RU"/>
    </w:rPr>
  </w:style>
  <w:style w:type="paragraph" w:styleId="1365" w:customStyle="1">
    <w:name w:val="РГ_ЕПоЗ_а)"/>
    <w:basedOn w:val="1361"/>
    <w:link w:val="1318"/>
    <w:qFormat/>
    <w:pPr>
      <w:numPr>
        <w:ilvl w:val="4"/>
        <w:numId w:val="18"/>
      </w:numPr>
      <w:contextualSpacing w:val="0"/>
      <w:jc w:val="both"/>
      <w:spacing w:before="120" w:after="0"/>
    </w:pPr>
    <w:rPr>
      <w:rFonts w:eastAsia="Calibri" w:cs="Times New Roman"/>
      <w:sz w:val="28"/>
      <w:szCs w:val="28"/>
    </w:rPr>
  </w:style>
  <w:style w:type="paragraph" w:styleId="1366" w:customStyle="1">
    <w:name w:val="РГ_ЕПоЗ_-"/>
    <w:basedOn w:val="1271"/>
    <w:link w:val="1319"/>
    <w:qFormat/>
    <w:pPr>
      <w:numPr>
        <w:ilvl w:val="5"/>
        <w:numId w:val="18"/>
      </w:numPr>
      <w:jc w:val="both"/>
      <w:spacing w:before="0" w:after="0"/>
      <w:tabs>
        <w:tab w:val="clear" w:pos="708" w:leader="none"/>
        <w:tab w:val="left" w:pos="2552" w:leader="none"/>
      </w:tabs>
    </w:pPr>
    <w:rPr>
      <w:rFonts w:eastAsia="Times New Roman" w:cs="Times New Roman"/>
      <w:sz w:val="28"/>
      <w:szCs w:val="20"/>
      <w:lang w:eastAsia="ru-RU"/>
    </w:rPr>
  </w:style>
  <w:style w:type="paragraph" w:styleId="1367" w:customStyle="1">
    <w:name w:val="РГ_ЕПоЗ_1.1.1"/>
    <w:basedOn w:val="1271"/>
    <w:qFormat/>
    <w:pPr>
      <w:numPr>
        <w:ilvl w:val="2"/>
        <w:numId w:val="18"/>
      </w:numPr>
      <w:jc w:val="both"/>
      <w:tabs>
        <w:tab w:val="clear" w:pos="708" w:leader="none"/>
        <w:tab w:val="left" w:pos="1134" w:leader="none"/>
      </w:tabs>
    </w:pPr>
    <w:rPr>
      <w:rFonts w:eastAsia="Times New Roman" w:cs="Times New Roman"/>
      <w:sz w:val="28"/>
      <w:szCs w:val="28"/>
      <w:lang w:eastAsia="ru-RU"/>
    </w:rPr>
  </w:style>
  <w:style w:type="paragraph" w:styleId="1368" w:customStyle="1">
    <w:name w:val="Table_header"/>
    <w:qFormat/>
    <w:pPr>
      <w:ind w:left="0" w:right="0" w:firstLine="0"/>
      <w:jc w:val="both"/>
      <w:keepLines w:val="0"/>
      <w:keepNext w:val="0"/>
      <w:pageBreakBefore w:val="0"/>
      <w:spacing w:before="120" w:beforeAutospacing="0" w:after="0" w:afterAutospacing="0" w:line="240" w:lineRule="auto"/>
      <w:shd w:val="nil"/>
      <w:widowControl/>
    </w:pPr>
    <w:rPr>
      <w:rFonts w:ascii="Times New Roman" w:hAnsi="Times New Roman" w:eastAsia="Times New Roman" w:cs="Times New Roman"/>
      <w:b/>
      <w:bCs w:val="0"/>
      <w:i w:val="0"/>
      <w:iCs w:val="0"/>
      <w:caps w:val="0"/>
      <w:smallCaps w:val="0"/>
      <w:strike w:val="0"/>
      <w:vanish w:val="0"/>
      <w:color w:val="auto"/>
      <w:spacing w:val="0"/>
      <w:position w:val="0"/>
      <w:sz w:val="20"/>
      <w:szCs w:val="24"/>
      <w:u w:val="none"/>
      <w:vertAlign w:val="baseline"/>
      <w:lang w:val="ru-RU" w:eastAsia="ru-RU" w:bidi="ar-SA"/>
      <w14:ligatures w14:val="none"/>
    </w:rPr>
  </w:style>
  <w:style w:type="paragraph" w:styleId="1369" w:customStyle="1">
    <w:name w:val="УРОВЕНЬ_Абзац_тип3"/>
    <w:qFormat/>
    <w:pPr>
      <w:numPr>
        <w:ilvl w:val="0"/>
        <w:numId w:val="0"/>
      </w:numPr>
      <w:ind w:left="0" w:right="0" w:firstLine="0"/>
      <w:jc w:val="both"/>
      <w:keepLines w:val="0"/>
      <w:keepNext w:val="0"/>
      <w:pageBreakBefore w:val="0"/>
      <w:spacing w:before="120" w:beforeAutospacing="0" w:after="0" w:afterAutospacing="0" w:line="360" w:lineRule="exact"/>
      <w:shd w:val="nil"/>
      <w:widowControl/>
    </w:pPr>
    <w:rPr>
      <w:rFonts w:ascii="Times New Roman" w:hAnsi="Times New Roman" w:eastAsia="Calibri" w:cs="Times New Roman" w:eastAsiaTheme="minorHAnsi"/>
      <w:b w:val="0"/>
      <w:bCs w:val="0"/>
      <w:i w:val="0"/>
      <w:iCs w:val="0"/>
      <w:caps w:val="0"/>
      <w:smallCaps w:val="0"/>
      <w:strike w:val="0"/>
      <w:vanish w:val="0"/>
      <w:color w:val="auto"/>
      <w:spacing w:val="0"/>
      <w:position w:val="0"/>
      <w:sz w:val="26"/>
      <w:szCs w:val="28"/>
      <w:u w:val="none"/>
      <w:vertAlign w:val="baseline"/>
      <w:lang w:val="ru-RU" w:eastAsia="en-US" w:bidi="ar-SA"/>
      <w14:ligatures w14:val="none"/>
    </w:rPr>
  </w:style>
  <w:style w:type="paragraph" w:styleId="1370" w:customStyle="1">
    <w:name w:val="Standard"/>
    <w:qFormat/>
    <w:pPr>
      <w:ind w:left="0" w:right="0" w:firstLine="0"/>
      <w:jc w:val="left"/>
      <w:keepLines w:val="0"/>
      <w:keepNext w:val="0"/>
      <w:pageBreakBefore w:val="0"/>
      <w:spacing w:before="0" w:beforeAutospacing="0" w:after="0" w:afterAutospacing="0" w:line="240" w:lineRule="auto"/>
      <w:shd w:val="nil"/>
      <w:widowControl/>
    </w:pPr>
    <w:rPr>
      <w:rFonts w:ascii="Liberation Serif" w:hAnsi="Liberation Serif" w:eastAsia="Arial Unicode MS" w:cs="Arial Unicode MS"/>
      <w:b w:val="0"/>
      <w:bCs w:val="0"/>
      <w:i w:val="0"/>
      <w:iCs w:val="0"/>
      <w:caps w:val="0"/>
      <w:smallCaps w:val="0"/>
      <w:strike w:val="0"/>
      <w:vanish w:val="0"/>
      <w:color w:val="auto"/>
      <w:spacing w:val="0"/>
      <w:position w:val="0"/>
      <w:sz w:val="24"/>
      <w:szCs w:val="24"/>
      <w:u w:val="none"/>
      <w:vertAlign w:val="baseline"/>
      <w:lang w:val="ru-RU" w:eastAsia="zh-CN" w:bidi="hi-IN"/>
      <w14:ligatures w14:val="none"/>
    </w:rPr>
  </w:style>
  <w:style w:type="paragraph" w:styleId="1371" w:customStyle="1">
    <w:name w:val="УРОВЕНЬ_(а)"/>
    <w:qFormat/>
    <w:pPr>
      <w:numPr>
        <w:ilvl w:val="3"/>
        <w:numId w:val="28"/>
      </w:numPr>
      <w:ind w:left="720" w:right="0" w:firstLine="567"/>
      <w:jc w:val="both"/>
      <w:keepLines w:val="0"/>
      <w:keepNext w:val="0"/>
      <w:pageBreakBefore w:val="0"/>
      <w:spacing w:before="120" w:beforeAutospacing="0" w:after="0" w:afterAutospacing="0" w:line="360" w:lineRule="exact"/>
      <w:shd w:val="nil"/>
      <w:widowControl/>
      <w:tabs>
        <w:tab w:val="left" w:pos="360" w:leader="none"/>
        <w:tab w:val="clear" w:pos="708" w:leader="none"/>
      </w:tabs>
      <w:outlineLvl w:val="3"/>
    </w:pPr>
    <w:rPr>
      <w:rFonts w:ascii="Times New Roman" w:hAnsi="Times New Roman" w:eastAsia="Calibri" w:cs="Times New Roman" w:eastAsiaTheme="minorHAnsi"/>
      <w:b w:val="0"/>
      <w:bCs w:val="0"/>
      <w:i w:val="0"/>
      <w:iCs w:val="0"/>
      <w:caps w:val="0"/>
      <w:smallCaps w:val="0"/>
      <w:strike w:val="0"/>
      <w:vanish w:val="0"/>
      <w:color w:val="auto"/>
      <w:spacing w:val="0"/>
      <w:position w:val="0"/>
      <w:sz w:val="26"/>
      <w:szCs w:val="28"/>
      <w:u w:val="none"/>
      <w:vertAlign w:val="baseline"/>
      <w:lang w:val="ru-RU" w:eastAsia="en-US" w:bidi="ar-SA"/>
      <w14:ligatures w14:val="none"/>
    </w:rPr>
  </w:style>
  <w:style w:type="paragraph" w:styleId="1372" w:customStyle="1">
    <w:name w:val="УРОВЕНЬ_-"/>
    <w:qFormat/>
    <w:pPr>
      <w:numPr>
        <w:ilvl w:val="4"/>
        <w:numId w:val="28"/>
      </w:numPr>
      <w:ind w:left="2268" w:right="0" w:hanging="567"/>
      <w:jc w:val="both"/>
      <w:keepLines w:val="0"/>
      <w:keepNext w:val="0"/>
      <w:pageBreakBefore w:val="0"/>
      <w:spacing w:before="120" w:beforeAutospacing="0" w:after="0" w:afterAutospacing="0" w:line="360" w:lineRule="exact"/>
      <w:shd w:val="nil"/>
      <w:widowControl/>
      <w:outlineLvl w:val="4"/>
    </w:pPr>
    <w:rPr>
      <w:rFonts w:ascii="Times New Roman" w:hAnsi="Times New Roman" w:eastAsia="Calibri" w:cs="Times New Roman" w:eastAsiaTheme="minorHAnsi"/>
      <w:b w:val="0"/>
      <w:bCs w:val="0"/>
      <w:i w:val="0"/>
      <w:iCs w:val="0"/>
      <w:caps w:val="0"/>
      <w:smallCaps w:val="0"/>
      <w:strike w:val="0"/>
      <w:vanish w:val="0"/>
      <w:color w:val="auto"/>
      <w:spacing w:val="0"/>
      <w:position w:val="0"/>
      <w:sz w:val="26"/>
      <w:szCs w:val="28"/>
      <w:u w:val="none"/>
      <w:vertAlign w:val="baseline"/>
      <w:lang w:val="ru-RU" w:eastAsia="en-US" w:bidi="ar-SA"/>
      <w14:ligatures w14:val="none"/>
    </w:rPr>
  </w:style>
  <w:style w:type="paragraph" w:styleId="1373" w:customStyle="1">
    <w:name w:val="УРОВЕНЬ_Подпись"/>
    <w:qFormat/>
    <w:pPr>
      <w:numPr>
        <w:ilvl w:val="5"/>
        <w:numId w:val="28"/>
      </w:numPr>
      <w:ind w:left="720" w:right="0" w:firstLine="567"/>
      <w:jc w:val="right"/>
      <w:keepLines w:val="0"/>
      <w:keepNext/>
      <w:pageBreakBefore w:val="0"/>
      <w:spacing w:before="120" w:beforeAutospacing="0" w:after="120" w:afterAutospacing="0" w:line="360" w:lineRule="exact"/>
      <w:shd w:val="nil"/>
      <w:widowControl/>
      <w:tabs>
        <w:tab w:val="left" w:pos="360" w:leader="none"/>
        <w:tab w:val="clear" w:pos="708" w:leader="none"/>
      </w:tabs>
      <w:outlineLvl w:val="3"/>
    </w:pPr>
    <w:rPr>
      <w:rFonts w:ascii="Times New Roman" w:hAnsi="Times New Roman" w:eastAsia="Calibri" w:cs="Times New Roman" w:eastAsiaTheme="minorHAnsi"/>
      <w:b w:val="0"/>
      <w:bCs w:val="0"/>
      <w:i w:val="0"/>
      <w:iCs w:val="0"/>
      <w:caps w:val="0"/>
      <w:smallCaps w:val="0"/>
      <w:strike w:val="0"/>
      <w:vanish w:val="0"/>
      <w:color w:val="auto"/>
      <w:spacing w:val="0"/>
      <w:position w:val="0"/>
      <w:sz w:val="26"/>
      <w:szCs w:val="28"/>
      <w:u w:val="none"/>
      <w:vertAlign w:val="baseline"/>
      <w:lang w:val="ru-RU" w:eastAsia="en-US" w:bidi="ar-SA"/>
      <w14:ligatures w14:val="none"/>
    </w:rPr>
  </w:style>
  <w:style w:type="paragraph" w:styleId="1374" w:customStyle="1">
    <w:name w:val="УРОВЕНЬ_Абзац_тип2"/>
    <w:qFormat/>
    <w:pPr>
      <w:numPr>
        <w:ilvl w:val="6"/>
        <w:numId w:val="28"/>
      </w:numPr>
      <w:ind w:left="1701" w:right="0" w:firstLine="0"/>
      <w:jc w:val="both"/>
      <w:keepLines w:val="0"/>
      <w:keepNext w:val="0"/>
      <w:pageBreakBefore w:val="0"/>
      <w:spacing w:before="120" w:beforeAutospacing="0" w:after="0" w:afterAutospacing="0" w:line="360" w:lineRule="exact"/>
      <w:shd w:val="nil"/>
      <w:widowControl/>
    </w:pPr>
    <w:rPr>
      <w:rFonts w:ascii="Times New Roman" w:hAnsi="Times New Roman" w:eastAsia="Calibri" w:cs="Times New Roman" w:eastAsiaTheme="minorHAnsi"/>
      <w:b w:val="0"/>
      <w:bCs w:val="0"/>
      <w:i w:val="0"/>
      <w:iCs w:val="0"/>
      <w:caps w:val="0"/>
      <w:smallCaps w:val="0"/>
      <w:strike w:val="0"/>
      <w:vanish w:val="0"/>
      <w:color w:val="auto"/>
      <w:spacing w:val="0"/>
      <w:position w:val="0"/>
      <w:sz w:val="26"/>
      <w:szCs w:val="28"/>
      <w:u w:val="none"/>
      <w:vertAlign w:val="baseline"/>
      <w:lang w:val="ru-RU" w:eastAsia="en-US" w:bidi="ar-SA"/>
      <w14:ligatures w14:val="none"/>
    </w:rPr>
  </w:style>
  <w:style w:type="paragraph" w:styleId="1375" w:customStyle="1">
    <w:name w:val="Footnote"/>
    <w:qFormat/>
    <w:pPr>
      <w:ind w:left="340" w:right="0" w:hanging="340"/>
      <w:jc w:val="left"/>
      <w:keepLines w:val="0"/>
      <w:keepNext w:val="0"/>
      <w:pageBreakBefore w:val="0"/>
      <w:spacing w:before="0" w:beforeAutospacing="0" w:after="0" w:afterAutospacing="0" w:line="240" w:lineRule="auto"/>
      <w:shd w:val="nil"/>
      <w:widowControl/>
      <w:suppressLineNumbers/>
    </w:pPr>
    <w:rPr>
      <w:rFonts w:ascii="Liberation Serif" w:hAnsi="Liberation Serif" w:eastAsia="NSimSun" w:cs="Mangal"/>
      <w:b w:val="0"/>
      <w:bCs w:val="0"/>
      <w:i w:val="0"/>
      <w:iCs w:val="0"/>
      <w:caps w:val="0"/>
      <w:smallCaps w:val="0"/>
      <w:strike w:val="0"/>
      <w:vanish w:val="0"/>
      <w:color w:val="auto"/>
      <w:spacing w:val="0"/>
      <w:position w:val="0"/>
      <w:sz w:val="20"/>
      <w:szCs w:val="20"/>
      <w:u w:val="none"/>
      <w:vertAlign w:val="baseline"/>
      <w:lang w:val="ru-RU" w:eastAsia="zh-CN" w:bidi="hi-IN"/>
      <w14:ligatures w14:val="none"/>
    </w:rPr>
  </w:style>
  <w:style w:type="paragraph" w:styleId="1376">
    <w:name w:val="Содержимое таблицы"/>
    <w:basedOn w:val="1271"/>
    <w:qFormat/>
    <w:pPr>
      <w:widowControl w:val="off"/>
      <w:suppressLineNumbers/>
    </w:pPr>
  </w:style>
  <w:style w:type="paragraph" w:styleId="1377">
    <w:name w:val="Заголовок таблицы"/>
    <w:basedOn w:val="1376"/>
    <w:qFormat/>
    <w:pPr>
      <w:jc w:val="center"/>
      <w:suppressLineNumbers/>
    </w:pPr>
    <w:rPr>
      <w:b/>
      <w:bCs/>
    </w:rPr>
  </w:style>
  <w:style w:type="numbering" w:styleId="1378" w:default="1">
    <w:name w:val="No List"/>
    <w:uiPriority w:val="99"/>
    <w:semiHidden/>
    <w:unhideWhenUsed/>
    <w:qFormat/>
  </w:style>
  <w:style w:type="table" w:styleId="1379">
    <w:name w:val="Table Grid Light"/>
    <w:basedOn w:val="1504"/>
    <w:uiPriority w:val="59"/>
    <w:pPr>
      <w:spacing w:after="0" w:line="240" w:lineRule="auto"/>
    </w:pPr>
    <w:tblP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1380">
    <w:name w:val="Plain Table 1"/>
    <w:basedOn w:val="1504"/>
    <w:uiPriority w:val="59"/>
    <w:pPr>
      <w:spacing w:after="0" w:line="240" w:lineRule="auto"/>
    </w:pPr>
    <w:tblP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fill="f2f2f2" w:themeFill="text1" w:themeFillTint="00"/>
      </w:tcPr>
    </w:tblStylePr>
    <w:tblStylePr w:type="band1Vert">
      <w:tcPr>
        <w:shd w:val="clear" w:color="ffffff" w:fill="f2f2f2" w:themeFill="text1" w:themeFillTint="00"/>
      </w:tcPr>
    </w:tblStylePr>
    <w:tblStylePr w:type="firstCol">
      <w:rPr>
        <w:b/>
        <w:color w:val="404040"/>
        <w:sz w:val="22"/>
      </w:rPr>
    </w:tblStylePr>
    <w:tblStylePr w:type="firstRow">
      <w:rPr>
        <w:b/>
        <w:color w:val="404040"/>
        <w:sz w:val="22"/>
      </w:rPr>
    </w:tblStylePr>
    <w:tblStylePr w:type="lastCol">
      <w:rPr>
        <w:b/>
        <w:color w:val="404040"/>
        <w:sz w:val="22"/>
      </w:rPr>
    </w:tblStylePr>
    <w:tblStylePr w:type="lastRow">
      <w:rPr>
        <w:b/>
        <w:color w:val="404040"/>
        <w:sz w:val="22"/>
      </w:rPr>
    </w:tblStylePr>
  </w:style>
  <w:style w:type="table" w:styleId="1381">
    <w:name w:val="Plain Table 2"/>
    <w:basedOn w:val="1504"/>
    <w:uiPriority w:val="59"/>
    <w:pPr>
      <w:spacing w:after="0" w:line="240" w:lineRule="auto"/>
    </w:pPr>
    <w:tblPr>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b/>
        <w:color w:val="404040"/>
        <w:sz w:val="22"/>
      </w:rPr>
    </w:tblStylePr>
    <w:tblStylePr w:type="firstRow">
      <w:rPr>
        <w:b/>
        <w:color w:val="404040"/>
        <w:sz w:val="22"/>
      </w:rPr>
      <w:tcPr>
        <w:tcBorders>
          <w:top w:val="single" w:color="000000" w:themeColor="text1" w:sz="4" w:space="0"/>
          <w:bottom w:val="single" w:color="000000" w:themeColor="text1" w:sz="4" w:space="0"/>
        </w:tcBorders>
      </w:tcPr>
    </w:tblStylePr>
    <w:tblStylePr w:type="lastCol">
      <w:rPr>
        <w:b/>
        <w:color w:val="404040"/>
        <w:sz w:val="22"/>
      </w:rPr>
    </w:tblStylePr>
    <w:tblStylePr w:type="lastRow">
      <w:rPr>
        <w:b/>
        <w:color w:val="404040"/>
        <w:sz w:val="22"/>
      </w:rPr>
    </w:tblStylePr>
  </w:style>
  <w:style w:type="table" w:styleId="1382">
    <w:name w:val="Plain Table 3"/>
    <w:basedOn w:val="1504"/>
    <w:uiPriority w:val="99"/>
    <w:pPr>
      <w:spacing w:after="0" w:line="240" w:lineRule="auto"/>
    </w:pPr>
    <w:tblPr>
      <w:tblStyleRowBandSize w:val="1"/>
      <w:tblStyleColBandSize w:val="1"/>
    </w:tblPr>
    <w:tblStylePr w:type="band1Horz">
      <w:rPr>
        <w:color w:val="404040"/>
        <w:sz w:val="22"/>
      </w:rPr>
      <w:tcPr>
        <w:shd w:val="clear" w:color="ffffff" w:fill="f2f2f2" w:themeFill="text1" w:themeFillTint="00"/>
      </w:tcPr>
    </w:tblStylePr>
    <w:tblStylePr w:type="band1Vert">
      <w:rPr>
        <w:color w:val="404040"/>
        <w:sz w:val="22"/>
      </w:rPr>
      <w:tcPr>
        <w:shd w:val="clear" w:color="ffffff" w:fill="f2f2f2" w:themeFill="text1" w:themeFillTint="00"/>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1383">
    <w:name w:val="Plain Table 4"/>
    <w:basedOn w:val="1504"/>
    <w:uiPriority w:val="99"/>
    <w:pPr>
      <w:spacing w:after="0" w:line="240" w:lineRule="auto"/>
    </w:pPr>
    <w:tblPr>
      <w:tblStyleRowBandSize w:val="1"/>
      <w:tblStyleColBandSize w:val="1"/>
    </w:tblPr>
    <w:tblStylePr w:type="band1Horz">
      <w:rPr>
        <w:color w:val="404040"/>
        <w:sz w:val="22"/>
      </w:rPr>
      <w:tcPr>
        <w:shd w:val="clear" w:color="ffffff" w:fill="f2f2f2" w:themeFill="text1" w:themeFillTint="00"/>
      </w:tcPr>
    </w:tblStylePr>
    <w:tblStylePr w:type="band1Vert">
      <w:rPr>
        <w:color w:val="404040"/>
        <w:sz w:val="22"/>
      </w:rPr>
      <w:tcPr>
        <w:shd w:val="clear" w:color="ffffff" w:fill="f2f2f2" w:themeFill="text1" w:themeFillTint="00"/>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1384">
    <w:name w:val="Plain Table 5"/>
    <w:basedOn w:val="1504"/>
    <w:uiPriority w:val="99"/>
    <w:pPr>
      <w:spacing w:after="0" w:line="240" w:lineRule="auto"/>
    </w:pPr>
    <w:tblPr>
      <w:tblStyleRowBandSize w:val="1"/>
      <w:tblStyleColBandSize w:val="1"/>
    </w:tblPr>
    <w:tblStylePr w:type="band1Horz">
      <w:rPr>
        <w:color w:val="404040"/>
        <w:sz w:val="22"/>
      </w:rPr>
      <w:tcPr>
        <w:shd w:val="clear" w:color="ffffff" w:fill="f2f2f2" w:themeFill="text1" w:themeFillTint="00"/>
      </w:tcPr>
    </w:tblStylePr>
    <w:tblStylePr w:type="band1Vert">
      <w:rPr>
        <w:color w:val="404040"/>
        <w:sz w:val="22"/>
      </w:rPr>
      <w:tcPr>
        <w:shd w:val="clear" w:color="ffffff" w:fill="f2f2f2" w:themeFill="text1" w:themeFillTint="00"/>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1385">
    <w:name w:val="Grid Table 1 Light"/>
    <w:basedOn w:val="1504"/>
    <w:uiPriority w:val="99"/>
    <w:pPr>
      <w:spacing w:after="0" w:line="240" w:lineRule="auto"/>
    </w:pPr>
    <w:tblPr>
      <w:tblStyleRowBandSize w:val="1"/>
      <w:tblStyleColBandSize w:val="1"/>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color w:val="404040"/>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firstCol">
      <w:rPr>
        <w:b/>
        <w:color w:val="404040"/>
      </w:rPr>
    </w:tblStylePr>
    <w:tblStylePr w:type="firstRow">
      <w:rPr>
        <w:b/>
        <w:color w:val="404040"/>
      </w:rPr>
      <w:tcPr>
        <w:tcBorders>
          <w:bottom w:val="single" w:color="000000" w:themeColor="text1" w:sz="12" w:space="0"/>
        </w:tcBorders>
      </w:tcPr>
    </w:tblStylePr>
    <w:tblStylePr w:type="lastCol">
      <w:rPr>
        <w:b/>
        <w:color w:val="404040"/>
      </w:rPr>
    </w:tblStylePr>
    <w:tblStylePr w:type="lastRow">
      <w:rPr>
        <w:b/>
        <w:color w:val="404040"/>
      </w:rPr>
    </w:tblStylePr>
  </w:style>
  <w:style w:type="table" w:styleId="1386">
    <w:name w:val="Grid Table 1 Light - Accent 1"/>
    <w:basedOn w:val="1504"/>
    <w:uiPriority w:val="99"/>
    <w:pPr>
      <w:spacing w:after="0" w:line="240" w:lineRule="auto"/>
    </w:pPr>
    <w:tblPr>
      <w:tblStyleRowBandSize w:val="1"/>
      <w:tblStyleColBandSize w:val="1"/>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color w:val="404040"/>
        <w:sz w:val="22"/>
      </w:rPr>
      <w:tcPr>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firstCol">
      <w:rPr>
        <w:b/>
        <w:color w:val="404040"/>
      </w:rPr>
    </w:tblStylePr>
    <w:tblStylePr w:type="firstRow">
      <w:rPr>
        <w:b/>
        <w:color w:val="404040"/>
      </w:rPr>
      <w:tcPr>
        <w:tcBorders>
          <w:bottom w:val="single" w:color="000000" w:themeColor="accent1" w:sz="12" w:space="0"/>
        </w:tcBorders>
      </w:tcPr>
    </w:tblStylePr>
    <w:tblStylePr w:type="lastCol">
      <w:rPr>
        <w:b/>
        <w:color w:val="404040"/>
      </w:rPr>
    </w:tblStylePr>
    <w:tblStylePr w:type="lastRow">
      <w:rPr>
        <w:b/>
        <w:color w:val="404040"/>
      </w:rPr>
    </w:tblStylePr>
  </w:style>
  <w:style w:type="table" w:styleId="1387">
    <w:name w:val="Grid Table 1 Light - Accent 2"/>
    <w:basedOn w:val="1504"/>
    <w:uiPriority w:val="99"/>
    <w:pPr>
      <w:spacing w:after="0" w:line="240" w:lineRule="auto"/>
    </w:pPr>
    <w:tblPr>
      <w:tblStyleRowBandSize w:val="1"/>
      <w:tblStyleColBandSize w:val="1"/>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color w:val="404040"/>
        <w:sz w:val="22"/>
      </w:rPr>
      <w:tcPr>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firstCol">
      <w:rPr>
        <w:b/>
        <w:color w:val="404040"/>
      </w:rPr>
    </w:tblStylePr>
    <w:tblStylePr w:type="firstRow">
      <w:rPr>
        <w:b/>
        <w:color w:val="404040"/>
      </w:rPr>
      <w:tcPr>
        <w:tcBorders>
          <w:bottom w:val="single" w:color="000000" w:themeColor="accent2" w:sz="12" w:space="0"/>
        </w:tcBorders>
      </w:tcPr>
    </w:tblStylePr>
    <w:tblStylePr w:type="lastCol">
      <w:rPr>
        <w:b/>
        <w:color w:val="404040"/>
      </w:rPr>
    </w:tblStylePr>
    <w:tblStylePr w:type="lastRow">
      <w:rPr>
        <w:b/>
        <w:color w:val="404040"/>
      </w:rPr>
    </w:tblStylePr>
  </w:style>
  <w:style w:type="table" w:styleId="1388">
    <w:name w:val="Grid Table 1 Light - Accent 3"/>
    <w:basedOn w:val="1504"/>
    <w:uiPriority w:val="99"/>
    <w:pPr>
      <w:spacing w:after="0" w:line="240" w:lineRule="auto"/>
    </w:pPr>
    <w:tblPr>
      <w:tblStyleRowBandSize w:val="1"/>
      <w:tblStyleColBandSize w:val="1"/>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color w:val="404040"/>
        <w:sz w:val="22"/>
      </w:rPr>
      <w:tcPr>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firstCol">
      <w:rPr>
        <w:b/>
        <w:color w:val="404040"/>
      </w:rPr>
    </w:tblStylePr>
    <w:tblStylePr w:type="firstRow">
      <w:rPr>
        <w:b/>
        <w:color w:val="404040"/>
      </w:rPr>
      <w:tcPr>
        <w:tcBorders>
          <w:bottom w:val="single" w:color="000000" w:themeColor="accent3" w:sz="12" w:space="0"/>
        </w:tcBorders>
      </w:tcPr>
    </w:tblStylePr>
    <w:tblStylePr w:type="lastCol">
      <w:rPr>
        <w:b/>
        <w:color w:val="404040"/>
      </w:rPr>
    </w:tblStylePr>
    <w:tblStylePr w:type="lastRow">
      <w:rPr>
        <w:b/>
        <w:color w:val="404040"/>
      </w:rPr>
    </w:tblStylePr>
  </w:style>
  <w:style w:type="table" w:styleId="1389">
    <w:name w:val="Grid Table 1 Light - Accent 4"/>
    <w:basedOn w:val="1504"/>
    <w:uiPriority w:val="99"/>
    <w:pPr>
      <w:spacing w:after="0" w:line="240" w:lineRule="auto"/>
    </w:pPr>
    <w:tblPr>
      <w:tblStyleRowBandSize w:val="1"/>
      <w:tblStyleColBandSize w:val="1"/>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color w:val="404040"/>
        <w:sz w:val="22"/>
      </w:rPr>
      <w:tcPr>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firstCol">
      <w:rPr>
        <w:b/>
        <w:color w:val="404040"/>
      </w:rPr>
    </w:tblStylePr>
    <w:tblStylePr w:type="firstRow">
      <w:rPr>
        <w:b/>
        <w:color w:val="404040"/>
      </w:rPr>
      <w:tcPr>
        <w:tcBorders>
          <w:bottom w:val="single" w:color="000000" w:themeColor="accent4" w:sz="12" w:space="0"/>
        </w:tcBorders>
      </w:tcPr>
    </w:tblStylePr>
    <w:tblStylePr w:type="lastCol">
      <w:rPr>
        <w:b/>
        <w:color w:val="404040"/>
      </w:rPr>
    </w:tblStylePr>
    <w:tblStylePr w:type="lastRow">
      <w:rPr>
        <w:b/>
        <w:color w:val="404040"/>
      </w:rPr>
    </w:tblStylePr>
  </w:style>
  <w:style w:type="table" w:styleId="1390">
    <w:name w:val="Grid Table 1 Light - Accent 5"/>
    <w:basedOn w:val="1504"/>
    <w:uiPriority w:val="99"/>
    <w:pPr>
      <w:spacing w:after="0" w:line="240" w:lineRule="auto"/>
    </w:pPr>
    <w:tblPr>
      <w:tblStyleRowBandSize w:val="1"/>
      <w:tblStyleColBandSize w:val="1"/>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color w:val="404040"/>
        <w:sz w:val="22"/>
      </w:r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firstCol">
      <w:rPr>
        <w:b/>
        <w:color w:val="404040"/>
      </w:rPr>
    </w:tblStylePr>
    <w:tblStylePr w:type="firstRow">
      <w:rPr>
        <w:b/>
        <w:color w:val="404040"/>
      </w:rPr>
      <w:tcPr>
        <w:tcBorders>
          <w:bottom w:val="single" w:color="000000" w:themeColor="accent5" w:sz="12" w:space="0"/>
        </w:tcBorders>
      </w:tcPr>
    </w:tblStylePr>
    <w:tblStylePr w:type="lastCol">
      <w:rPr>
        <w:b/>
        <w:color w:val="404040"/>
      </w:rPr>
    </w:tblStylePr>
    <w:tblStylePr w:type="lastRow">
      <w:rPr>
        <w:b/>
        <w:color w:val="404040"/>
      </w:rPr>
    </w:tblStylePr>
  </w:style>
  <w:style w:type="table" w:styleId="1391">
    <w:name w:val="Grid Table 1 Light - Accent 6"/>
    <w:basedOn w:val="1504"/>
    <w:uiPriority w:val="99"/>
    <w:pPr>
      <w:spacing w:after="0" w:line="240" w:lineRule="auto"/>
    </w:pPr>
    <w:tblPr>
      <w:tblStyleRowBandSize w:val="1"/>
      <w:tblStyleColBandSize w:val="1"/>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color w:val="404040"/>
        <w:sz w:val="22"/>
      </w:r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firstCol">
      <w:rPr>
        <w:b/>
        <w:color w:val="404040"/>
      </w:rPr>
    </w:tblStylePr>
    <w:tblStylePr w:type="firstRow">
      <w:rPr>
        <w:b/>
        <w:color w:val="404040"/>
      </w:rPr>
      <w:tcPr>
        <w:tcBorders>
          <w:bottom w:val="single" w:color="000000" w:themeColor="accent6" w:sz="12" w:space="0"/>
        </w:tcBorders>
      </w:tcPr>
    </w:tblStylePr>
    <w:tblStylePr w:type="lastCol">
      <w:rPr>
        <w:b/>
        <w:color w:val="404040"/>
      </w:rPr>
    </w:tblStylePr>
    <w:tblStylePr w:type="lastRow">
      <w:rPr>
        <w:b/>
        <w:color w:val="404040"/>
      </w:rPr>
    </w:tblStylePr>
  </w:style>
  <w:style w:type="table" w:styleId="1392">
    <w:name w:val="Grid Table 2"/>
    <w:basedOn w:val="1504"/>
    <w:uiPriority w:val="99"/>
    <w:pPr>
      <w:spacing w:after="0" w:line="240" w:lineRule="auto"/>
    </w:pPr>
    <w:tblPr>
      <w:tblStyleRowBandSize w:val="1"/>
      <w:tblStyleColBandSize w:val="1"/>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color w:val="404040"/>
        <w:sz w:val="22"/>
      </w:rPr>
      <w:tcPr>
        <w:shd w:val="clear" w:color="ffffff" w:fill="cbcbcb" w:themeFill="text1" w:themeFillTint="34"/>
      </w:tcPr>
    </w:tblStylePr>
    <w:tblStylePr w:type="band1Vert">
      <w:rPr>
        <w:color w:val="404040"/>
        <w:sz w:val="22"/>
      </w:rPr>
      <w:tcPr>
        <w:shd w:val="clear" w:color="ffffff"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sz="4" w:space="0"/>
          <w:left w:val="none" w:color="000000" w:sz="4" w:space="0"/>
          <w:bottom w:val="none" w:color="000000" w:sz="4" w:space="0"/>
          <w:right w:val="none" w:color="000000" w:sz="4" w:space="0"/>
        </w:tcBorders>
      </w:tcPr>
    </w:tblStylePr>
  </w:style>
  <w:style w:type="table" w:styleId="1393">
    <w:name w:val="Grid Table 2 - Accent 1"/>
    <w:basedOn w:val="1504"/>
    <w:uiPriority w:val="99"/>
    <w:pPr>
      <w:spacing w:after="0" w:line="240" w:lineRule="auto"/>
    </w:pPr>
    <w:tblPr>
      <w:tblStyleRowBandSize w:val="1"/>
      <w:tblStyleColBandSize w:val="1"/>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color w:val="404040"/>
        <w:sz w:val="22"/>
      </w:rPr>
      <w:tcPr>
        <w:shd w:val="clear" w:color="ffffff" w:fill="d9e2f2" w:themeFill="accent1" w:themeFillTint="34"/>
      </w:tcPr>
    </w:tblStylePr>
    <w:tblStylePr w:type="band1Vert">
      <w:rPr>
        <w:color w:val="404040"/>
        <w:sz w:val="22"/>
      </w:rPr>
      <w:tcPr>
        <w:shd w:val="clear" w:color="ffffff" w:fill="d9e2f2"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sz="4" w:space="0"/>
          <w:left w:val="none" w:color="000000" w:sz="4" w:space="0"/>
          <w:bottom w:val="none" w:color="000000" w:sz="4" w:space="0"/>
          <w:right w:val="none" w:color="000000" w:sz="4" w:space="0"/>
        </w:tcBorders>
      </w:tcPr>
    </w:tblStylePr>
  </w:style>
  <w:style w:type="table" w:styleId="1394">
    <w:name w:val="Grid Table 2 - Accent 2"/>
    <w:basedOn w:val="1504"/>
    <w:uiPriority w:val="99"/>
    <w:pPr>
      <w:spacing w:after="0" w:line="240" w:lineRule="auto"/>
    </w:pPr>
    <w:tblPr>
      <w:tblStyleRowBandSize w:val="1"/>
      <w:tblStyleColBandSize w:val="1"/>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color w:val="404040"/>
        <w:sz w:val="22"/>
      </w:rPr>
      <w:tcPr>
        <w:shd w:val="clear" w:color="ffffff" w:fill="fbe5d6" w:themeFill="accent2" w:themeFillTint="32"/>
      </w:tcPr>
    </w:tblStylePr>
    <w:tblStylePr w:type="band1Vert">
      <w:rPr>
        <w:color w:val="404040"/>
        <w:sz w:val="22"/>
      </w:rPr>
      <w:tcPr>
        <w:shd w:val="clear" w:color="ffffff" w:fill="fbe5d6"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sz="4" w:space="0"/>
          <w:left w:val="none" w:color="000000" w:sz="4" w:space="0"/>
          <w:bottom w:val="none" w:color="000000" w:sz="4" w:space="0"/>
          <w:right w:val="none" w:color="000000" w:sz="4" w:space="0"/>
        </w:tcBorders>
      </w:tcPr>
    </w:tblStylePr>
  </w:style>
  <w:style w:type="table" w:styleId="1395">
    <w:name w:val="Grid Table 2 - Accent 3"/>
    <w:basedOn w:val="1504"/>
    <w:uiPriority w:val="99"/>
    <w:pPr>
      <w:spacing w:after="0" w:line="240" w:lineRule="auto"/>
    </w:pPr>
    <w:tblPr>
      <w:tblStyleRowBandSize w:val="1"/>
      <w:tblStyleColBandSize w:val="1"/>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color w:val="404040"/>
        <w:sz w:val="22"/>
      </w:rPr>
      <w:tcPr>
        <w:shd w:val="clear" w:color="ffffff" w:fill="ededed" w:themeFill="accent3" w:themeFillTint="34"/>
      </w:tcPr>
    </w:tblStylePr>
    <w:tblStylePr w:type="band1Vert">
      <w:rPr>
        <w:color w:val="404040"/>
        <w:sz w:val="22"/>
      </w:rPr>
      <w:tcPr>
        <w:shd w:val="clear" w:color="ffffff" w:fill="edede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sz="4" w:space="0"/>
          <w:left w:val="none" w:color="000000" w:sz="4" w:space="0"/>
          <w:bottom w:val="none" w:color="000000" w:sz="4" w:space="0"/>
          <w:right w:val="none" w:color="000000" w:sz="4" w:space="0"/>
        </w:tcBorders>
      </w:tcPr>
    </w:tblStylePr>
  </w:style>
  <w:style w:type="table" w:styleId="1396">
    <w:name w:val="Grid Table 2 - Accent 4"/>
    <w:basedOn w:val="1504"/>
    <w:uiPriority w:val="99"/>
    <w:pPr>
      <w:spacing w:after="0" w:line="240" w:lineRule="auto"/>
    </w:pPr>
    <w:tblPr>
      <w:tblStyleRowBandSize w:val="1"/>
      <w:tblStyleColBandSize w:val="1"/>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color w:val="404040"/>
        <w:sz w:val="22"/>
      </w:rPr>
      <w:tcPr>
        <w:shd w:val="clear" w:color="ffffff" w:fill="fef2cb" w:themeFill="accent4" w:themeFillTint="34"/>
      </w:tcPr>
    </w:tblStylePr>
    <w:tblStylePr w:type="band1Vert">
      <w:rPr>
        <w:color w:val="404040"/>
        <w:sz w:val="22"/>
      </w:rPr>
      <w:tcPr>
        <w:shd w:val="clear" w:color="ffffff" w:fill="fef2cb"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sz="4" w:space="0"/>
          <w:left w:val="none" w:color="000000" w:sz="4" w:space="0"/>
          <w:bottom w:val="none" w:color="000000" w:sz="4" w:space="0"/>
          <w:right w:val="none" w:color="000000" w:sz="4" w:space="0"/>
        </w:tcBorders>
      </w:tcPr>
    </w:tblStylePr>
  </w:style>
  <w:style w:type="table" w:styleId="1397">
    <w:name w:val="Grid Table 2 - Accent 5"/>
    <w:basedOn w:val="1504"/>
    <w:uiPriority w:val="99"/>
    <w:pPr>
      <w:spacing w:after="0" w:line="240" w:lineRule="auto"/>
    </w:pPr>
    <w:tblPr>
      <w:tblStyleRowBandSize w:val="1"/>
      <w:tblStyleColBandSize w:val="1"/>
      <w:tblBorders>
        <w:bottom w:val="single" w:color="000000" w:themeColor="accent5" w:sz="4" w:space="0"/>
        <w:insideH w:val="single" w:color="000000" w:themeColor="accent5" w:sz="4" w:space="0"/>
        <w:insideV w:val="single" w:color="000000" w:themeColor="accent5" w:sz="4" w:space="0"/>
      </w:tblBorders>
    </w:tblPr>
    <w:tblStylePr w:type="band1Horz">
      <w:rPr>
        <w:color w:val="404040"/>
        <w:sz w:val="22"/>
      </w:rPr>
      <w:tcPr>
        <w:shd w:val="clear" w:color="ffffff" w:fill="ddebf6" w:themeFill="accent5" w:themeFillTint="34"/>
      </w:tcPr>
    </w:tblStylePr>
    <w:tblStylePr w:type="band1Vert">
      <w:rPr>
        <w:color w:val="404040"/>
        <w:sz w:val="22"/>
      </w:rPr>
      <w:tcPr>
        <w:shd w:val="clear" w:color="ffffff" w:fill="ddebf6"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1398">
    <w:name w:val="Grid Table 2 - Accent 6"/>
    <w:basedOn w:val="1504"/>
    <w:uiPriority w:val="99"/>
    <w:pPr>
      <w:spacing w:after="0" w:line="240" w:lineRule="auto"/>
    </w:pPr>
    <w:tblPr>
      <w:tblStyleRowBandSize w:val="1"/>
      <w:tblStyleColBandSize w:val="1"/>
      <w:tblBorders>
        <w:bottom w:val="single" w:color="000000" w:themeColor="accent6" w:sz="4" w:space="0"/>
        <w:insideH w:val="single" w:color="000000" w:themeColor="accent6" w:sz="4" w:space="0"/>
        <w:insideV w:val="single" w:color="000000" w:themeColor="accent6" w:sz="4" w:space="0"/>
      </w:tblBorders>
    </w:tblPr>
    <w:tblStylePr w:type="band1Horz">
      <w:rPr>
        <w:color w:val="404040"/>
        <w:sz w:val="22"/>
      </w:rPr>
      <w:tcPr>
        <w:shd w:val="clear" w:color="ffffff" w:fill="e2efd8" w:themeFill="accent6" w:themeFillTint="34"/>
      </w:tcPr>
    </w:tblStylePr>
    <w:tblStylePr w:type="band1Vert">
      <w:rPr>
        <w:color w:val="404040"/>
        <w:sz w:val="22"/>
      </w:rPr>
      <w:tcPr>
        <w:shd w:val="clear" w:color="ffffff" w:fill="e2ef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1399">
    <w:name w:val="Grid Table 3"/>
    <w:basedOn w:val="1504"/>
    <w:uiPriority w:val="99"/>
    <w:pPr>
      <w:spacing w:after="0" w:line="240" w:lineRule="auto"/>
    </w:pPr>
    <w:tblPr>
      <w:tblStyleRowBandSize w:val="1"/>
      <w:tblStyleColBandSize w:val="1"/>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color w:val="404040"/>
        <w:sz w:val="22"/>
      </w:rPr>
      <w:tcPr>
        <w:shd w:val="clear" w:color="ffffff" w:fill="cbcbcb" w:themeFill="text1" w:themeFillTint="34"/>
      </w:tcPr>
    </w:tblStylePr>
    <w:tblStylePr w:type="band1Vert">
      <w:rPr>
        <w:color w:val="404040"/>
        <w:sz w:val="22"/>
      </w:rPr>
      <w:tcPr>
        <w:shd w:val="clear" w:color="ffffff"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400">
    <w:name w:val="Grid Table 3 - Accent 1"/>
    <w:basedOn w:val="1504"/>
    <w:uiPriority w:val="99"/>
    <w:pPr>
      <w:spacing w:after="0" w:line="240" w:lineRule="auto"/>
    </w:pPr>
    <w:tblPr>
      <w:tblStyleRowBandSize w:val="1"/>
      <w:tblStyleColBandSize w:val="1"/>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color w:val="404040"/>
        <w:sz w:val="22"/>
      </w:rPr>
      <w:tcPr>
        <w:shd w:val="clear" w:color="ffffff" w:fill="d9e2f2" w:themeFill="accent1" w:themeFillTint="34"/>
      </w:tcPr>
    </w:tblStylePr>
    <w:tblStylePr w:type="band1Vert">
      <w:rPr>
        <w:color w:val="404040"/>
        <w:sz w:val="22"/>
      </w:rPr>
      <w:tcPr>
        <w:shd w:val="clear" w:color="ffffff" w:fill="d9e2f2"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401">
    <w:name w:val="Grid Table 3 - Accent 2"/>
    <w:basedOn w:val="1504"/>
    <w:uiPriority w:val="99"/>
    <w:pPr>
      <w:spacing w:after="0" w:line="240" w:lineRule="auto"/>
    </w:pPr>
    <w:tblPr>
      <w:tblStyleRowBandSize w:val="1"/>
      <w:tblStyleColBandSize w:val="1"/>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color w:val="404040"/>
        <w:sz w:val="22"/>
      </w:rPr>
      <w:tcPr>
        <w:shd w:val="clear" w:color="ffffff" w:fill="fbe5d6" w:themeFill="accent2" w:themeFillTint="32"/>
      </w:tcPr>
    </w:tblStylePr>
    <w:tblStylePr w:type="band1Vert">
      <w:rPr>
        <w:color w:val="404040"/>
        <w:sz w:val="22"/>
      </w:rPr>
      <w:tcPr>
        <w:shd w:val="clear" w:color="ffffff" w:fill="fbe5d6"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402">
    <w:name w:val="Grid Table 3 - Accent 3"/>
    <w:basedOn w:val="1504"/>
    <w:uiPriority w:val="99"/>
    <w:pPr>
      <w:spacing w:after="0" w:line="240" w:lineRule="auto"/>
    </w:pPr>
    <w:tblPr>
      <w:tblStyleRowBandSize w:val="1"/>
      <w:tblStyleColBandSize w:val="1"/>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color w:val="404040"/>
        <w:sz w:val="22"/>
      </w:rPr>
      <w:tcPr>
        <w:shd w:val="clear" w:color="ffffff" w:fill="ededed" w:themeFill="accent3" w:themeFillTint="34"/>
      </w:tcPr>
    </w:tblStylePr>
    <w:tblStylePr w:type="band1Vert">
      <w:rPr>
        <w:color w:val="404040"/>
        <w:sz w:val="22"/>
      </w:rPr>
      <w:tcPr>
        <w:shd w:val="clear" w:color="ffffff" w:fill="edede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403">
    <w:name w:val="Grid Table 3 - Accent 4"/>
    <w:basedOn w:val="1504"/>
    <w:uiPriority w:val="99"/>
    <w:pPr>
      <w:spacing w:after="0" w:line="240" w:lineRule="auto"/>
    </w:pPr>
    <w:tblPr>
      <w:tblStyleRowBandSize w:val="1"/>
      <w:tblStyleColBandSize w:val="1"/>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color w:val="404040"/>
        <w:sz w:val="22"/>
      </w:rPr>
      <w:tcPr>
        <w:shd w:val="clear" w:color="ffffff" w:fill="fef2cb" w:themeFill="accent4" w:themeFillTint="34"/>
      </w:tcPr>
    </w:tblStylePr>
    <w:tblStylePr w:type="band1Vert">
      <w:rPr>
        <w:color w:val="404040"/>
        <w:sz w:val="22"/>
      </w:rPr>
      <w:tcPr>
        <w:shd w:val="clear" w:color="ffffff" w:fill="fef2cb"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404">
    <w:name w:val="Grid Table 3 - Accent 5"/>
    <w:basedOn w:val="1504"/>
    <w:uiPriority w:val="99"/>
    <w:pPr>
      <w:spacing w:after="0" w:line="240" w:lineRule="auto"/>
    </w:pPr>
    <w:tblPr>
      <w:tblStyleRowBandSize w:val="1"/>
      <w:tblStyleColBandSize w:val="1"/>
      <w:tblBorders>
        <w:bottom w:val="single" w:color="000000" w:themeColor="accent5" w:sz="4" w:space="0"/>
        <w:insideH w:val="single" w:color="000000" w:themeColor="accent5" w:sz="4" w:space="0"/>
        <w:insideV w:val="single" w:color="000000" w:themeColor="accent5" w:sz="4" w:space="0"/>
      </w:tblBorders>
    </w:tblPr>
    <w:tblStylePr w:type="band1Horz">
      <w:rPr>
        <w:color w:val="404040"/>
        <w:sz w:val="22"/>
      </w:rPr>
      <w:tcPr>
        <w:shd w:val="clear" w:color="ffffff" w:fill="ddebf6" w:themeFill="accent5" w:themeFillTint="34"/>
      </w:tcPr>
    </w:tblStylePr>
    <w:tblStylePr w:type="band1Vert">
      <w:rPr>
        <w:color w:val="404040"/>
        <w:sz w:val="22"/>
      </w:rPr>
      <w:tcPr>
        <w:shd w:val="clear" w:color="ffffff" w:fill="ddebf6"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405">
    <w:name w:val="Grid Table 3 - Accent 6"/>
    <w:basedOn w:val="1504"/>
    <w:uiPriority w:val="99"/>
    <w:pPr>
      <w:spacing w:after="0" w:line="240" w:lineRule="auto"/>
    </w:pPr>
    <w:tblPr>
      <w:tblStyleRowBandSize w:val="1"/>
      <w:tblStyleColBandSize w:val="1"/>
      <w:tblBorders>
        <w:bottom w:val="single" w:color="000000" w:themeColor="accent6" w:sz="4" w:space="0"/>
        <w:insideH w:val="single" w:color="000000" w:themeColor="accent6" w:sz="4" w:space="0"/>
        <w:insideV w:val="single" w:color="000000" w:themeColor="accent6" w:sz="4" w:space="0"/>
      </w:tblBorders>
    </w:tblPr>
    <w:tblStylePr w:type="band1Horz">
      <w:rPr>
        <w:color w:val="404040"/>
        <w:sz w:val="22"/>
      </w:rPr>
      <w:tcPr>
        <w:shd w:val="clear" w:color="ffffff" w:fill="e2efd8" w:themeFill="accent6" w:themeFillTint="34"/>
      </w:tcPr>
    </w:tblStylePr>
    <w:tblStylePr w:type="band1Vert">
      <w:rPr>
        <w:color w:val="404040"/>
        <w:sz w:val="22"/>
      </w:rPr>
      <w:tcPr>
        <w:shd w:val="clear" w:color="ffffff" w:fill="e2ef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406">
    <w:name w:val="Grid Table 4"/>
    <w:basedOn w:val="1504"/>
    <w:uiPriority w:val="59"/>
    <w:pPr>
      <w:spacing w:after="0" w:line="240" w:lineRule="auto"/>
    </w:pPr>
    <w:tblPr>
      <w:tblStyleRowBandSize w:val="1"/>
      <w:tblStyleColBandSize w:val="1"/>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color w:val="404040"/>
        <w:sz w:val="22"/>
      </w:rPr>
      <w:tcPr>
        <w:shd w:val="clear" w:color="ffffff" w:fill="cbcbcb" w:themeFill="text1" w:themeFillTint="34"/>
      </w:tcPr>
    </w:tblStylePr>
    <w:tblStylePr w:type="band1Vert">
      <w:rPr>
        <w:color w:val="404040"/>
        <w:sz w:val="22"/>
      </w:rPr>
      <w:tcPr>
        <w:shd w:val="clear" w:color="ffffff" w:fill="cbcbcb" w:themeFill="text1" w:themeFillTint="34"/>
      </w:tcPr>
    </w:tblStylePr>
    <w:tblStylePr w:type="firstCol">
      <w:rPr>
        <w:b/>
        <w:color w:val="404040"/>
      </w:rPr>
    </w:tblStylePr>
    <w:tblStylePr w:type="firstRow">
      <w:rPr>
        <w:b/>
        <w:color w:val="ffffff"/>
        <w:sz w:val="22"/>
      </w:rPr>
      <w:tcPr>
        <w:shd w:val="clear" w:color="ffffff"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1407">
    <w:name w:val="Grid Table 4 - Accent 1"/>
    <w:basedOn w:val="1504"/>
    <w:uiPriority w:val="59"/>
    <w:pPr>
      <w:spacing w:after="0" w:line="240" w:lineRule="auto"/>
    </w:pPr>
    <w:tblPr>
      <w:tblStyleRowBandSize w:val="1"/>
      <w:tblStyleColBandSize w:val="1"/>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color w:val="404040"/>
        <w:sz w:val="22"/>
      </w:rPr>
      <w:tcPr>
        <w:shd w:val="clear" w:color="ffffff" w:fill="dae3f3" w:themeFill="accent1" w:themeFillTint="32"/>
      </w:tcPr>
    </w:tblStylePr>
    <w:tblStylePr w:type="band1Vert">
      <w:rPr>
        <w:color w:val="404040"/>
        <w:sz w:val="22"/>
      </w:rPr>
      <w:tcPr>
        <w:shd w:val="clear" w:color="ffffff" w:fill="dae3f3" w:themeFill="accent1" w:themeFillTint="32"/>
      </w:tcPr>
    </w:tblStylePr>
    <w:tblStylePr w:type="firstCol">
      <w:rPr>
        <w:b/>
        <w:color w:val="404040"/>
      </w:rPr>
    </w:tblStylePr>
    <w:tblStylePr w:type="firstRow">
      <w:rPr>
        <w:b/>
        <w:color w:val="ffffff"/>
        <w:sz w:val="22"/>
      </w:rPr>
      <w:tcPr>
        <w:shd w:val="clear" w:color="ffffff" w:fill="537fc8" w:themeFill="accent1" w:themeFillTint="EA"/>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lastCol">
      <w:rPr>
        <w:b/>
        <w:color w:val="404040"/>
      </w:rPr>
    </w:tblStylePr>
    <w:tblStylePr w:type="lastRow">
      <w:rPr>
        <w:b/>
        <w:color w:val="404040"/>
      </w:rPr>
      <w:tcPr>
        <w:tcBorders>
          <w:top w:val="single" w:color="000000" w:themeColor="accent1" w:sz="4" w:space="0"/>
        </w:tcBorders>
      </w:tcPr>
    </w:tblStylePr>
  </w:style>
  <w:style w:type="table" w:styleId="1408">
    <w:name w:val="Grid Table 4 - Accent 2"/>
    <w:basedOn w:val="1504"/>
    <w:uiPriority w:val="59"/>
    <w:pPr>
      <w:spacing w:after="0" w:line="240" w:lineRule="auto"/>
    </w:pPr>
    <w:tblPr>
      <w:tblStyleRowBandSize w:val="1"/>
      <w:tblStyleColBandSize w:val="1"/>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color w:val="404040"/>
        <w:sz w:val="22"/>
      </w:rPr>
      <w:tcPr>
        <w:shd w:val="clear" w:color="ffffff" w:fill="fbe5d6" w:themeFill="accent2" w:themeFillTint="32"/>
      </w:tcPr>
    </w:tblStylePr>
    <w:tblStylePr w:type="band1Vert">
      <w:rPr>
        <w:color w:val="404040"/>
        <w:sz w:val="22"/>
      </w:rPr>
      <w:tcPr>
        <w:shd w:val="clear" w:color="ffffff" w:fill="fbe5d6" w:themeFill="accent2" w:themeFillTint="32"/>
      </w:tcPr>
    </w:tblStylePr>
    <w:tblStylePr w:type="firstCol">
      <w:rPr>
        <w:b/>
        <w:color w:val="404040"/>
      </w:rPr>
    </w:tblStylePr>
    <w:tblStylePr w:type="firstRow">
      <w:rPr>
        <w:b/>
        <w:color w:val="ffffff"/>
        <w:sz w:val="22"/>
      </w:rPr>
      <w:tcPr>
        <w:shd w:val="clear" w:color="ffffff" w:fill="f4b185" w:themeFill="accent2" w:themeFillTint="97"/>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lastCol">
      <w:rPr>
        <w:b/>
        <w:color w:val="404040"/>
      </w:rPr>
    </w:tblStylePr>
    <w:tblStylePr w:type="lastRow">
      <w:rPr>
        <w:b/>
        <w:color w:val="404040"/>
      </w:rPr>
      <w:tcPr>
        <w:tcBorders>
          <w:top w:val="single" w:color="000000" w:themeColor="accent2" w:sz="4" w:space="0"/>
        </w:tcBorders>
      </w:tcPr>
    </w:tblStylePr>
  </w:style>
  <w:style w:type="table" w:styleId="1409">
    <w:name w:val="Grid Table 4 - Accent 3"/>
    <w:basedOn w:val="1504"/>
    <w:uiPriority w:val="59"/>
    <w:pPr>
      <w:spacing w:after="0" w:line="240" w:lineRule="auto"/>
    </w:pPr>
    <w:tblPr>
      <w:tblStyleRowBandSize w:val="1"/>
      <w:tblStyleColBandSize w:val="1"/>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color w:val="404040"/>
        <w:sz w:val="22"/>
      </w:rPr>
      <w:tcPr>
        <w:shd w:val="clear" w:color="ffffff" w:fill="ededed" w:themeFill="accent3" w:themeFillTint="34"/>
      </w:tcPr>
    </w:tblStylePr>
    <w:tblStylePr w:type="band1Vert">
      <w:rPr>
        <w:color w:val="404040"/>
        <w:sz w:val="22"/>
      </w:rPr>
      <w:tcPr>
        <w:shd w:val="clear" w:color="ffffff" w:fill="ededed" w:themeFill="accent3" w:themeFillTint="34"/>
      </w:tcPr>
    </w:tblStylePr>
    <w:tblStylePr w:type="firstCol">
      <w:rPr>
        <w:b/>
        <w:color w:val="404040"/>
      </w:rPr>
    </w:tblStylePr>
    <w:tblStylePr w:type="firstRow">
      <w:rPr>
        <w:b/>
        <w:color w:val="ffffff"/>
        <w:sz w:val="22"/>
      </w:rPr>
      <w:tcPr>
        <w:shd w:val="clear" w:color="ffffff" w:fill="a5a5a5" w:themeFill="accent3" w:themeFillTint="FE"/>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lastCol">
      <w:rPr>
        <w:b/>
        <w:color w:val="404040"/>
      </w:rPr>
    </w:tblStylePr>
    <w:tblStylePr w:type="lastRow">
      <w:rPr>
        <w:b/>
        <w:color w:val="404040"/>
      </w:rPr>
      <w:tcPr>
        <w:tcBorders>
          <w:top w:val="single" w:color="000000" w:themeColor="accent3" w:sz="4" w:space="0"/>
        </w:tcBorders>
      </w:tcPr>
    </w:tblStylePr>
  </w:style>
  <w:style w:type="table" w:styleId="1410">
    <w:name w:val="Grid Table 4 - Accent 4"/>
    <w:basedOn w:val="1504"/>
    <w:uiPriority w:val="59"/>
    <w:pPr>
      <w:spacing w:after="0" w:line="240" w:lineRule="auto"/>
    </w:pPr>
    <w:tblPr>
      <w:tblStyleRowBandSize w:val="1"/>
      <w:tblStyleColBandSize w:val="1"/>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color w:val="404040"/>
        <w:sz w:val="22"/>
      </w:rPr>
      <w:tcPr>
        <w:shd w:val="clear" w:color="ffffff" w:fill="fef2cb" w:themeFill="accent4" w:themeFillTint="34"/>
      </w:tcPr>
    </w:tblStylePr>
    <w:tblStylePr w:type="band1Vert">
      <w:rPr>
        <w:color w:val="404040"/>
        <w:sz w:val="22"/>
      </w:rPr>
      <w:tcPr>
        <w:shd w:val="clear" w:color="ffffff" w:fill="fef2cb" w:themeFill="accent4" w:themeFillTint="34"/>
      </w:tcPr>
    </w:tblStylePr>
    <w:tblStylePr w:type="firstCol">
      <w:rPr>
        <w:b/>
        <w:color w:val="404040"/>
      </w:rPr>
    </w:tblStylePr>
    <w:tblStylePr w:type="firstRow">
      <w:rPr>
        <w:b/>
        <w:color w:val="ffffff"/>
        <w:sz w:val="22"/>
      </w:rPr>
      <w:tcPr>
        <w:shd w:val="clear" w:color="ffffff" w:fill="ffd864" w:themeFill="accent4" w:themeFillTint="9A"/>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lastCol">
      <w:rPr>
        <w:b/>
        <w:color w:val="404040"/>
      </w:rPr>
    </w:tblStylePr>
    <w:tblStylePr w:type="lastRow">
      <w:rPr>
        <w:b/>
        <w:color w:val="404040"/>
      </w:rPr>
      <w:tcPr>
        <w:tcBorders>
          <w:top w:val="single" w:color="000000" w:themeColor="accent4" w:sz="4" w:space="0"/>
        </w:tcBorders>
      </w:tcPr>
    </w:tblStylePr>
  </w:style>
  <w:style w:type="table" w:styleId="1411">
    <w:name w:val="Grid Table 4 - Accent 5"/>
    <w:basedOn w:val="1504"/>
    <w:uiPriority w:val="59"/>
    <w:pPr>
      <w:spacing w:after="0" w:line="240" w:lineRule="auto"/>
    </w:pPr>
    <w:tblPr>
      <w:tblStyleRowBandSize w:val="1"/>
      <w:tblStyleColBandSize w:val="1"/>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color w:val="404040"/>
        <w:sz w:val="22"/>
      </w:rPr>
      <w:tcPr>
        <w:shd w:val="clear" w:color="ffffff" w:fill="ddebf6" w:themeFill="accent5" w:themeFillTint="34"/>
      </w:tcPr>
    </w:tblStylePr>
    <w:tblStylePr w:type="band1Vert">
      <w:rPr>
        <w:color w:val="404040"/>
        <w:sz w:val="22"/>
      </w:rPr>
      <w:tcPr>
        <w:shd w:val="clear" w:color="ffffff" w:fill="ddebf6" w:themeFill="accent5" w:themeFillTint="34"/>
      </w:tcPr>
    </w:tblStylePr>
    <w:tblStylePr w:type="firstCol">
      <w:rPr>
        <w:b/>
        <w:color w:val="404040"/>
      </w:rPr>
    </w:tblStylePr>
    <w:tblStylePr w:type="firstRow">
      <w:rPr>
        <w:b/>
        <w:color w:val="ffffff"/>
        <w:sz w:val="22"/>
      </w:rPr>
      <w:tcPr>
        <w:shd w:val="clear" w:color="ffffff" w:fill="5b9bd5"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1412">
    <w:name w:val="Grid Table 4 - Accent 6"/>
    <w:basedOn w:val="1504"/>
    <w:uiPriority w:val="59"/>
    <w:pPr>
      <w:spacing w:after="0" w:line="240" w:lineRule="auto"/>
    </w:pPr>
    <w:tblPr>
      <w:tblStyleRowBandSize w:val="1"/>
      <w:tblStyleColBandSize w:val="1"/>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color w:val="404040"/>
        <w:sz w:val="22"/>
      </w:rPr>
      <w:tcPr>
        <w:shd w:val="clear" w:color="ffffff" w:fill="e2efd8" w:themeFill="accent6" w:themeFillTint="34"/>
      </w:tcPr>
    </w:tblStylePr>
    <w:tblStylePr w:type="band1Vert">
      <w:rPr>
        <w:color w:val="404040"/>
        <w:sz w:val="22"/>
      </w:rPr>
      <w:tcPr>
        <w:shd w:val="clear" w:color="ffffff" w:fill="e2efd8" w:themeFill="accent6" w:themeFillTint="34"/>
      </w:tcPr>
    </w:tblStylePr>
    <w:tblStylePr w:type="firstCol">
      <w:rPr>
        <w:b/>
        <w:color w:val="404040"/>
      </w:rPr>
    </w:tblStylePr>
    <w:tblStylePr w:type="firstRow">
      <w:rPr>
        <w:b/>
        <w:color w:val="ffffff"/>
        <w:sz w:val="22"/>
      </w:rPr>
      <w:tcPr>
        <w:shd w:val="clear" w:color="ffffff"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1413">
    <w:name w:val="Grid Table 5 Dark"/>
    <w:basedOn w:val="1504"/>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cPr>
        <w:shd w:val="clear" w:color="ffffff" w:fill="8a8a8a" w:themeFill="text1" w:themeFillTint="75"/>
      </w:tcPr>
    </w:tblStylePr>
    <w:tblStylePr w:type="band1Vert">
      <w:tcPr>
        <w:shd w:val="clear" w:color="ffffff" w:fill="8a8a8a" w:themeFill="text1" w:themeFillTint="75"/>
      </w:tcPr>
    </w:tblStylePr>
    <w:tblStylePr w:type="firstCol">
      <w:rPr>
        <w:b/>
        <w:color w:val="ffffff"/>
        <w:sz w:val="22"/>
      </w:rPr>
      <w:tcPr>
        <w:shd w:val="clear" w:color="ffffff" w:fill="000000" w:themeFill="text1"/>
      </w:tcPr>
    </w:tblStylePr>
    <w:tblStylePr w:type="firstRow">
      <w:rPr>
        <w:b/>
        <w:color w:val="ffffff"/>
        <w:sz w:val="22"/>
      </w:rPr>
      <w:tcPr>
        <w:shd w:val="clear" w:color="ffffff" w:fill="000000" w:themeFill="text1"/>
      </w:tcPr>
    </w:tblStylePr>
    <w:tblStylePr w:type="lastCol">
      <w:rPr>
        <w:b/>
        <w:color w:val="ffffff"/>
        <w:sz w:val="22"/>
      </w:rPr>
      <w:tcPr>
        <w:shd w:val="clear" w:color="ffffff" w:fill="000000" w:themeFill="text1"/>
      </w:tcPr>
    </w:tblStylePr>
    <w:tblStylePr w:type="lastRow">
      <w:rPr>
        <w:b/>
        <w:color w:val="ffffff"/>
        <w:sz w:val="22"/>
      </w:rPr>
      <w:tcPr>
        <w:shd w:val="clear" w:color="ffffff" w:fill="000000" w:themeFill="text1"/>
        <w:tcBorders>
          <w:top w:val="single" w:color="000000" w:themeColor="light1" w:sz="4" w:space="0"/>
        </w:tcBorders>
      </w:tcPr>
    </w:tblStylePr>
  </w:style>
  <w:style w:type="table" w:styleId="1414">
    <w:name w:val="Grid Table 5 Dark- Accent 1"/>
    <w:basedOn w:val="1504"/>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cPr>
        <w:shd w:val="clear" w:color="ffffff" w:fill="aabfe3" w:themeFill="accent1" w:themeFillTint="75"/>
      </w:tcPr>
    </w:tblStylePr>
    <w:tblStylePr w:type="band1Vert">
      <w:tcPr>
        <w:shd w:val="clear" w:color="ffffff" w:fill="aabfe3" w:themeFill="accent1" w:themeFillTint="75"/>
      </w:tcPr>
    </w:tblStylePr>
    <w:tblStylePr w:type="firstCol">
      <w:rPr>
        <w:b/>
        <w:color w:val="ffffff"/>
        <w:sz w:val="22"/>
      </w:rPr>
      <w:tcPr>
        <w:shd w:val="clear" w:color="ffffff" w:fill="4472c4" w:themeFill="accent1"/>
      </w:tcPr>
    </w:tblStylePr>
    <w:tblStylePr w:type="firstRow">
      <w:rPr>
        <w:b/>
        <w:color w:val="ffffff"/>
        <w:sz w:val="22"/>
      </w:rPr>
      <w:tcPr>
        <w:shd w:val="clear" w:color="ffffff" w:fill="4472c4" w:themeFill="accent1"/>
      </w:tcPr>
    </w:tblStylePr>
    <w:tblStylePr w:type="lastCol">
      <w:rPr>
        <w:b/>
        <w:color w:val="ffffff"/>
        <w:sz w:val="22"/>
      </w:rPr>
      <w:tcPr>
        <w:shd w:val="clear" w:color="ffffff" w:fill="4472c4" w:themeFill="accent1"/>
      </w:tcPr>
    </w:tblStylePr>
    <w:tblStylePr w:type="lastRow">
      <w:rPr>
        <w:b/>
        <w:color w:val="ffffff"/>
        <w:sz w:val="22"/>
      </w:rPr>
      <w:tcPr>
        <w:shd w:val="clear" w:color="ffffff" w:fill="4472c4" w:themeFill="accent1"/>
        <w:tcBorders>
          <w:top w:val="single" w:color="000000" w:themeColor="light1" w:sz="4" w:space="0"/>
        </w:tcBorders>
      </w:tcPr>
    </w:tblStylePr>
  </w:style>
  <w:style w:type="table" w:styleId="1415">
    <w:name w:val="Grid Table 5 Dark - Accent 2"/>
    <w:basedOn w:val="1504"/>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cPr>
        <w:shd w:val="clear" w:color="ffffff" w:fill="f6c3a1" w:themeFill="accent2" w:themeFillTint="75"/>
      </w:tcPr>
    </w:tblStylePr>
    <w:tblStylePr w:type="band1Vert">
      <w:tcPr>
        <w:shd w:val="clear" w:color="ffffff" w:fill="f6c3a1" w:themeFill="accent2" w:themeFillTint="75"/>
      </w:tcPr>
    </w:tblStylePr>
    <w:tblStylePr w:type="firstCol">
      <w:rPr>
        <w:b/>
        <w:color w:val="ffffff"/>
        <w:sz w:val="22"/>
      </w:rPr>
      <w:tcPr>
        <w:shd w:val="clear" w:color="ffffff" w:fill="ed7d31" w:themeFill="accent2"/>
      </w:tcPr>
    </w:tblStylePr>
    <w:tblStylePr w:type="firstRow">
      <w:rPr>
        <w:b/>
        <w:color w:val="ffffff"/>
        <w:sz w:val="22"/>
      </w:rPr>
      <w:tcPr>
        <w:shd w:val="clear" w:color="ffffff" w:fill="ed7d31" w:themeFill="accent2"/>
      </w:tcPr>
    </w:tblStylePr>
    <w:tblStylePr w:type="lastCol">
      <w:rPr>
        <w:b/>
        <w:color w:val="ffffff"/>
        <w:sz w:val="22"/>
      </w:rPr>
      <w:tcPr>
        <w:shd w:val="clear" w:color="ffffff" w:fill="ed7d31" w:themeFill="accent2"/>
      </w:tcPr>
    </w:tblStylePr>
    <w:tblStylePr w:type="lastRow">
      <w:rPr>
        <w:b/>
        <w:color w:val="ffffff"/>
        <w:sz w:val="22"/>
      </w:rPr>
      <w:tcPr>
        <w:shd w:val="clear" w:color="ffffff" w:fill="ed7d31" w:themeFill="accent2"/>
        <w:tcBorders>
          <w:top w:val="single" w:color="000000" w:themeColor="light1" w:sz="4" w:space="0"/>
        </w:tcBorders>
      </w:tcPr>
    </w:tblStylePr>
  </w:style>
  <w:style w:type="table" w:styleId="1416">
    <w:name w:val="Grid Table 5 Dark - Accent 3"/>
    <w:basedOn w:val="1504"/>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cPr>
        <w:shd w:val="clear" w:color="ffffff" w:fill="d6d6d6" w:themeFill="accent3" w:themeFillTint="75"/>
      </w:tcPr>
    </w:tblStylePr>
    <w:tblStylePr w:type="band1Vert">
      <w:tcPr>
        <w:shd w:val="clear" w:color="ffffff" w:fill="d6d6d6" w:themeFill="accent3" w:themeFillTint="75"/>
      </w:tcPr>
    </w:tblStylePr>
    <w:tblStylePr w:type="firstCol">
      <w:rPr>
        <w:b/>
        <w:color w:val="ffffff"/>
        <w:sz w:val="22"/>
      </w:rPr>
      <w:tcPr>
        <w:shd w:val="clear" w:color="ffffff" w:fill="a5a5a5" w:themeFill="accent3"/>
      </w:tcPr>
    </w:tblStylePr>
    <w:tblStylePr w:type="firstRow">
      <w:rPr>
        <w:b/>
        <w:color w:val="ffffff"/>
        <w:sz w:val="22"/>
      </w:rPr>
      <w:tcPr>
        <w:shd w:val="clear" w:color="ffffff" w:fill="a5a5a5" w:themeFill="accent3"/>
      </w:tcPr>
    </w:tblStylePr>
    <w:tblStylePr w:type="lastCol">
      <w:rPr>
        <w:b/>
        <w:color w:val="ffffff"/>
        <w:sz w:val="22"/>
      </w:rPr>
      <w:tcPr>
        <w:shd w:val="clear" w:color="ffffff" w:fill="a5a5a5" w:themeFill="accent3"/>
      </w:tcPr>
    </w:tblStylePr>
    <w:tblStylePr w:type="lastRow">
      <w:rPr>
        <w:b/>
        <w:color w:val="ffffff"/>
        <w:sz w:val="22"/>
      </w:rPr>
      <w:tcPr>
        <w:shd w:val="clear" w:color="ffffff" w:fill="a5a5a5" w:themeFill="accent3"/>
        <w:tcBorders>
          <w:top w:val="single" w:color="000000" w:themeColor="light1" w:sz="4" w:space="0"/>
        </w:tcBorders>
      </w:tcPr>
    </w:tblStylePr>
  </w:style>
  <w:style w:type="table" w:styleId="1417">
    <w:name w:val="Grid Table 5 Dark- Accent 4"/>
    <w:basedOn w:val="1504"/>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cPr>
        <w:shd w:val="clear" w:color="ffffff" w:fill="fee189" w:themeFill="accent4" w:themeFillTint="75"/>
      </w:tcPr>
    </w:tblStylePr>
    <w:tblStylePr w:type="band1Vert">
      <w:tcPr>
        <w:shd w:val="clear" w:color="ffffff" w:fill="fee189" w:themeFill="accent4" w:themeFillTint="75"/>
      </w:tcPr>
    </w:tblStylePr>
    <w:tblStylePr w:type="firstCol">
      <w:rPr>
        <w:b/>
        <w:color w:val="ffffff"/>
        <w:sz w:val="22"/>
      </w:rPr>
      <w:tcPr>
        <w:shd w:val="clear" w:color="ffffff" w:fill="ffc000" w:themeFill="accent4"/>
      </w:tcPr>
    </w:tblStylePr>
    <w:tblStylePr w:type="firstRow">
      <w:rPr>
        <w:b/>
        <w:color w:val="ffffff"/>
        <w:sz w:val="22"/>
      </w:rPr>
      <w:tcPr>
        <w:shd w:val="clear" w:color="ffffff" w:fill="ffc000" w:themeFill="accent4"/>
      </w:tcPr>
    </w:tblStylePr>
    <w:tblStylePr w:type="lastCol">
      <w:rPr>
        <w:b/>
        <w:color w:val="ffffff"/>
        <w:sz w:val="22"/>
      </w:rPr>
      <w:tcPr>
        <w:shd w:val="clear" w:color="ffffff" w:fill="ffc000" w:themeFill="accent4"/>
      </w:tcPr>
    </w:tblStylePr>
    <w:tblStylePr w:type="lastRow">
      <w:rPr>
        <w:b/>
        <w:color w:val="ffffff"/>
        <w:sz w:val="22"/>
      </w:rPr>
      <w:tcPr>
        <w:shd w:val="clear" w:color="ffffff" w:fill="ffc000" w:themeFill="accent4"/>
        <w:tcBorders>
          <w:top w:val="single" w:color="000000" w:themeColor="light1" w:sz="4" w:space="0"/>
        </w:tcBorders>
      </w:tcPr>
    </w:tblStylePr>
  </w:style>
  <w:style w:type="table" w:styleId="1418">
    <w:name w:val="Grid Table 5 Dark - Accent 5"/>
    <w:basedOn w:val="1504"/>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cPr>
        <w:shd w:val="clear" w:color="ffffff" w:fill="b4d2eb" w:themeFill="accent5" w:themeFillTint="75"/>
      </w:tcPr>
    </w:tblStylePr>
    <w:tblStylePr w:type="band1Vert">
      <w:tcPr>
        <w:shd w:val="clear" w:color="ffffff" w:fill="b4d2eb" w:themeFill="accent5" w:themeFillTint="75"/>
      </w:tcPr>
    </w:tblStylePr>
    <w:tblStylePr w:type="firstCol">
      <w:rPr>
        <w:b/>
        <w:color w:val="ffffff"/>
        <w:sz w:val="22"/>
      </w:rPr>
      <w:tcPr>
        <w:shd w:val="clear" w:color="ffffff" w:fill="5b9bd5" w:themeFill="accent5"/>
      </w:tcPr>
    </w:tblStylePr>
    <w:tblStylePr w:type="firstRow">
      <w:rPr>
        <w:b/>
        <w:color w:val="ffffff"/>
        <w:sz w:val="22"/>
      </w:rPr>
      <w:tcPr>
        <w:shd w:val="clear" w:color="ffffff" w:fill="5b9bd5" w:themeFill="accent5"/>
      </w:tcPr>
    </w:tblStylePr>
    <w:tblStylePr w:type="lastCol">
      <w:rPr>
        <w:b/>
        <w:color w:val="ffffff"/>
        <w:sz w:val="22"/>
      </w:rPr>
      <w:tcPr>
        <w:shd w:val="clear" w:color="ffffff" w:fill="5b9bd5" w:themeFill="accent5"/>
      </w:tcPr>
    </w:tblStylePr>
    <w:tblStylePr w:type="lastRow">
      <w:rPr>
        <w:b/>
        <w:color w:val="ffffff"/>
        <w:sz w:val="22"/>
      </w:rPr>
      <w:tcPr>
        <w:shd w:val="clear" w:color="ffffff" w:fill="5b9bd5" w:themeFill="accent5"/>
        <w:tcBorders>
          <w:top w:val="single" w:color="000000" w:themeColor="light1" w:sz="4" w:space="0"/>
        </w:tcBorders>
      </w:tcPr>
    </w:tblStylePr>
  </w:style>
  <w:style w:type="table" w:styleId="1419">
    <w:name w:val="Grid Table 5 Dark - Accent 6"/>
    <w:basedOn w:val="1504"/>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cPr>
        <w:shd w:val="clear" w:color="ffffff" w:fill="bedba8" w:themeFill="accent6" w:themeFillTint="75"/>
      </w:tcPr>
    </w:tblStylePr>
    <w:tblStylePr w:type="band1Vert">
      <w:tcPr>
        <w:shd w:val="clear" w:color="ffffff" w:fill="bedba8" w:themeFill="accent6" w:themeFillTint="75"/>
      </w:tcPr>
    </w:tblStylePr>
    <w:tblStylePr w:type="firstCol">
      <w:rPr>
        <w:b/>
        <w:color w:val="ffffff"/>
        <w:sz w:val="22"/>
      </w:rPr>
      <w:tcPr>
        <w:shd w:val="clear" w:color="ffffff" w:fill="70ad47" w:themeFill="accent6"/>
      </w:tcPr>
    </w:tblStylePr>
    <w:tblStylePr w:type="firstRow">
      <w:rPr>
        <w:b/>
        <w:color w:val="ffffff"/>
        <w:sz w:val="22"/>
      </w:rPr>
      <w:tcPr>
        <w:shd w:val="clear" w:color="ffffff" w:fill="70ad47" w:themeFill="accent6"/>
      </w:tcPr>
    </w:tblStylePr>
    <w:tblStylePr w:type="lastCol">
      <w:rPr>
        <w:b/>
        <w:color w:val="ffffff"/>
        <w:sz w:val="22"/>
      </w:rPr>
      <w:tcPr>
        <w:shd w:val="clear" w:color="ffffff" w:fill="70ad47" w:themeFill="accent6"/>
      </w:tcPr>
    </w:tblStylePr>
    <w:tblStylePr w:type="lastRow">
      <w:rPr>
        <w:b/>
        <w:color w:val="ffffff"/>
        <w:sz w:val="22"/>
      </w:rPr>
      <w:tcPr>
        <w:shd w:val="clear" w:color="ffffff" w:fill="70ad47" w:themeFill="accent6"/>
        <w:tcBorders>
          <w:top w:val="single" w:color="000000" w:themeColor="light1" w:sz="4" w:space="0"/>
        </w:tcBorders>
      </w:tcPr>
    </w:tblStylePr>
  </w:style>
  <w:style w:type="table" w:styleId="1420">
    <w:name w:val="Grid Table 6 Colorful"/>
    <w:basedOn w:val="1504"/>
    <w:uiPriority w:val="99"/>
    <w:pPr>
      <w:spacing w:after="0" w:line="240" w:lineRule="auto"/>
    </w:pPr>
    <w:tblPr>
      <w:tblStyleRowBandSize w:val="1"/>
      <w:tblStyleColBandSize w:val="1"/>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color w:val="404040" w:themeColor="text1" w:themeTint="80" w:themeShade="95"/>
        <w:sz w:val="22"/>
      </w:rPr>
      <w:tcPr>
        <w:shd w:val="clear" w:color="ffffff" w:fill="cbcbcb" w:themeFill="text1" w:themeFillTint="34"/>
      </w:tcPr>
    </w:tblStylePr>
    <w:tblStylePr w:type="band1Vert">
      <w:tcPr>
        <w:shd w:val="clear" w:color="ffffff" w:fill="cbcbcb" w:themeFill="text1" w:themeFillTint="34"/>
      </w:tcPr>
    </w:tblStylePr>
    <w:tblStylePr w:type="band2Horz">
      <w:rPr>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color w:val="404040" w:themeColor="text1" w:themeTint="80" w:themeShade="95"/>
        <w:sz w:val="22"/>
      </w:rPr>
    </w:tblStylePr>
  </w:style>
  <w:style w:type="table" w:styleId="1421">
    <w:name w:val="Grid Table 6 Colorful - Accent 1"/>
    <w:basedOn w:val="1504"/>
    <w:uiPriority w:val="99"/>
    <w:pPr>
      <w:spacing w:after="0" w:line="240" w:lineRule="auto"/>
    </w:pPr>
    <w:tblPr>
      <w:tblStyleRowBandSize w:val="1"/>
      <w:tblStyleColBandSize w:val="1"/>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color w:val="404040" w:themeColor="accent1" w:themeTint="80" w:themeShade="95"/>
        <w:sz w:val="22"/>
      </w:rPr>
      <w:tcPr>
        <w:shd w:val="clear" w:color="ffffff" w:fill="d9e2f2" w:themeFill="accent1" w:themeFillTint="34"/>
      </w:tcPr>
    </w:tblStylePr>
    <w:tblStylePr w:type="band1Vert">
      <w:tcPr>
        <w:shd w:val="clear" w:color="ffffff" w:fill="d9e2f2" w:themeFill="accent1" w:themeFillTint="34"/>
      </w:tcPr>
    </w:tblStylePr>
    <w:tblStylePr w:type="band2Horz">
      <w:rPr>
        <w:color w:val="404040" w:themeColor="accent1" w:themeTint="80" w:themeShade="95"/>
        <w:sz w:val="22"/>
      </w:rPr>
    </w:tblStylePr>
    <w:tblStylePr w:type="firstCol">
      <w:rPr>
        <w:b/>
        <w:color w:val="3664a9" w:themeColor="accent1" w:themeTint="80" w:themeShade="95"/>
      </w:rPr>
    </w:tblStylePr>
    <w:tblStylePr w:type="firstRow">
      <w:rPr>
        <w:b/>
        <w:color w:val="3664a9" w:themeColor="accent1" w:themeTint="80" w:themeShade="95"/>
      </w:rPr>
      <w:tcPr>
        <w:tcBorders>
          <w:bottom w:val="single" w:color="000000" w:themeColor="accent1" w:sz="12" w:space="0"/>
        </w:tcBorders>
      </w:tcPr>
    </w:tblStylePr>
    <w:tblStylePr w:type="lastCol">
      <w:rPr>
        <w:b/>
        <w:color w:val="3664a9" w:themeColor="accent1" w:themeTint="80" w:themeShade="95"/>
      </w:rPr>
    </w:tblStylePr>
    <w:tblStylePr w:type="lastRow">
      <w:rPr>
        <w:b/>
        <w:color w:val="3664a9" w:themeColor="accent1" w:themeTint="80" w:themeShade="95"/>
      </w:rPr>
    </w:tblStylePr>
    <w:tblStylePr w:type="wholeTable">
      <w:rPr>
        <w:color w:val="404040" w:themeColor="accent1" w:themeTint="80" w:themeShade="95"/>
        <w:sz w:val="22"/>
      </w:rPr>
    </w:tblStylePr>
  </w:style>
  <w:style w:type="table" w:styleId="1422">
    <w:name w:val="Grid Table 6 Colorful - Accent 2"/>
    <w:basedOn w:val="1504"/>
    <w:uiPriority w:val="99"/>
    <w:pPr>
      <w:spacing w:after="0" w:line="240" w:lineRule="auto"/>
    </w:pPr>
    <w:tblPr>
      <w:tblStyleRowBandSize w:val="1"/>
      <w:tblStyleColBandSize w:val="1"/>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color w:val="404040" w:themeColor="accent2" w:themeTint="97" w:themeShade="95"/>
        <w:sz w:val="22"/>
      </w:rPr>
      <w:tcPr>
        <w:shd w:val="clear" w:color="ffffff" w:fill="fbe5d6" w:themeFill="accent2" w:themeFillTint="32"/>
      </w:tcPr>
    </w:tblStylePr>
    <w:tblStylePr w:type="band1Vert">
      <w:tcPr>
        <w:shd w:val="clear" w:color="ffffff" w:fill="fbe5d6" w:themeFill="accent2" w:themeFillTint="32"/>
      </w:tcPr>
    </w:tblStylePr>
    <w:tblStylePr w:type="band2Horz">
      <w:rPr>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sz="12" w:space="0"/>
        </w:tcBorders>
      </w:tcPr>
    </w:tblStylePr>
    <w:tblStylePr w:type="lastCol">
      <w:rPr>
        <w:b/>
        <w:color w:val="c95712" w:themeColor="accent2" w:themeTint="97" w:themeShade="95"/>
      </w:rPr>
    </w:tblStylePr>
    <w:tblStylePr w:type="lastRow">
      <w:rPr>
        <w:b/>
        <w:color w:val="c95712" w:themeColor="accent2" w:themeTint="97" w:themeShade="95"/>
      </w:rPr>
    </w:tblStylePr>
    <w:tblStylePr w:type="wholeTable">
      <w:rPr>
        <w:color w:val="404040" w:themeColor="accent2" w:themeTint="97" w:themeShade="95"/>
        <w:sz w:val="22"/>
      </w:rPr>
    </w:tblStylePr>
  </w:style>
  <w:style w:type="table" w:styleId="1423">
    <w:name w:val="Grid Table 6 Colorful - Accent 3"/>
    <w:basedOn w:val="1504"/>
    <w:uiPriority w:val="99"/>
    <w:pPr>
      <w:spacing w:after="0" w:line="240" w:lineRule="auto"/>
    </w:pPr>
    <w:tblPr>
      <w:tblStyleRowBandSize w:val="1"/>
      <w:tblStyleColBandSize w:val="1"/>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color w:val="404040" w:themeColor="accent3" w:themeTint="FE" w:themeShade="95"/>
        <w:sz w:val="22"/>
      </w:rPr>
      <w:tcPr>
        <w:shd w:val="clear" w:color="ffffff" w:fill="ededed" w:themeFill="accent3" w:themeFillTint="34"/>
      </w:tcPr>
    </w:tblStylePr>
    <w:tblStylePr w:type="band1Vert">
      <w:tcPr>
        <w:shd w:val="clear" w:color="ffffff" w:fill="ededed" w:themeFill="accent3" w:themeFillTint="34"/>
      </w:tcPr>
    </w:tblStylePr>
    <w:tblStylePr w:type="band2Horz">
      <w:rPr>
        <w:color w:val="404040" w:themeColor="accent3" w:themeTint="FE" w:themeShade="95"/>
        <w:sz w:val="22"/>
      </w:rPr>
    </w:tblStylePr>
    <w:tblStylePr w:type="firstCol">
      <w:rPr>
        <w:b/>
        <w:color w:val="606060" w:themeColor="accent3" w:themeTint="FE" w:themeShade="95"/>
      </w:rPr>
    </w:tblStylePr>
    <w:tblStylePr w:type="firstRow">
      <w:rPr>
        <w:b/>
        <w:color w:val="606060" w:themeColor="accent3" w:themeTint="FE" w:themeShade="95"/>
      </w:rPr>
      <w:tcPr>
        <w:tcBorders>
          <w:bottom w:val="single" w:color="000000" w:themeColor="accent3" w:sz="12" w:space="0"/>
        </w:tcBorders>
      </w:tcPr>
    </w:tblStylePr>
    <w:tblStylePr w:type="lastCol">
      <w:rPr>
        <w:b/>
        <w:color w:val="606060" w:themeColor="accent3" w:themeTint="FE" w:themeShade="95"/>
      </w:rPr>
    </w:tblStylePr>
    <w:tblStylePr w:type="lastRow">
      <w:rPr>
        <w:b/>
        <w:color w:val="606060" w:themeColor="accent3" w:themeTint="FE" w:themeShade="95"/>
      </w:rPr>
    </w:tblStylePr>
    <w:tblStylePr w:type="wholeTable">
      <w:rPr>
        <w:color w:val="404040" w:themeColor="accent3" w:themeTint="FE" w:themeShade="95"/>
        <w:sz w:val="22"/>
      </w:rPr>
    </w:tblStylePr>
  </w:style>
  <w:style w:type="table" w:styleId="1424">
    <w:name w:val="Grid Table 6 Colorful - Accent 4"/>
    <w:basedOn w:val="1504"/>
    <w:uiPriority w:val="99"/>
    <w:pPr>
      <w:spacing w:after="0" w:line="240" w:lineRule="auto"/>
    </w:pPr>
    <w:tblPr>
      <w:tblStyleRowBandSize w:val="1"/>
      <w:tblStyleColBandSize w:val="1"/>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color w:val="404040" w:themeColor="accent4" w:themeTint="9A" w:themeShade="95"/>
        <w:sz w:val="22"/>
      </w:rPr>
      <w:tcPr>
        <w:shd w:val="clear" w:color="ffffff" w:fill="fef2cb" w:themeFill="accent4" w:themeFillTint="34"/>
      </w:tcPr>
    </w:tblStylePr>
    <w:tblStylePr w:type="band1Vert">
      <w:tcPr>
        <w:shd w:val="clear" w:color="ffffff" w:fill="fef2cb" w:themeFill="accent4" w:themeFillTint="34"/>
      </w:tcPr>
    </w:tblStylePr>
    <w:tblStylePr w:type="band2Horz">
      <w:rPr>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sz="12" w:space="0"/>
        </w:tcBorders>
      </w:tcPr>
    </w:tblStylePr>
    <w:tblStylePr w:type="lastCol">
      <w:rPr>
        <w:b/>
        <w:color w:val="cd9600" w:themeColor="accent4" w:themeTint="9A" w:themeShade="95"/>
      </w:rPr>
    </w:tblStylePr>
    <w:tblStylePr w:type="lastRow">
      <w:rPr>
        <w:b/>
        <w:color w:val="cd9600" w:themeColor="accent4" w:themeTint="9A" w:themeShade="95"/>
      </w:rPr>
    </w:tblStylePr>
    <w:tblStylePr w:type="wholeTable">
      <w:rPr>
        <w:color w:val="404040" w:themeColor="accent4" w:themeTint="9A" w:themeShade="95"/>
        <w:sz w:val="22"/>
      </w:rPr>
    </w:tblStylePr>
  </w:style>
  <w:style w:type="table" w:styleId="1425">
    <w:name w:val="Grid Table 6 Colorful - Accent 5"/>
    <w:basedOn w:val="1504"/>
    <w:uiPriority w:val="99"/>
    <w:pPr>
      <w:spacing w:after="0" w:line="240" w:lineRule="auto"/>
    </w:pPr>
    <w:tblPr>
      <w:tblStyleRowBandSize w:val="1"/>
      <w:tblStyleColBandSize w:val="1"/>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color w:val="404040" w:themeColor="accent5" w:themeShade="95"/>
        <w:sz w:val="22"/>
      </w:rPr>
      <w:tcPr>
        <w:shd w:val="clear" w:color="ffffff" w:fill="ddebf6" w:themeFill="accent5" w:themeFillTint="34"/>
      </w:tcPr>
    </w:tblStylePr>
    <w:tblStylePr w:type="band1Vert">
      <w:tcPr>
        <w:shd w:val="clear" w:color="ffffff" w:fill="ddebf6" w:themeFill="accent5" w:themeFillTint="34"/>
      </w:tcPr>
    </w:tblStylePr>
    <w:tblStylePr w:type="band2Horz">
      <w:rPr>
        <w:color w:val="404040" w:themeColor="accent5" w:themeShade="95"/>
        <w:sz w:val="22"/>
      </w:rPr>
    </w:tblStylePr>
    <w:tblStylePr w:type="firstCol">
      <w:rPr>
        <w:b/>
        <w:color w:val="245d8d" w:themeColor="accent5" w:themeShade="95"/>
      </w:rPr>
    </w:tblStylePr>
    <w:tblStylePr w:type="firstRow">
      <w:rPr>
        <w:b/>
        <w:color w:val="245d8d" w:themeColor="accent5" w:themeShade="95"/>
      </w:rPr>
      <w:tcPr>
        <w:tcBorders>
          <w:bottom w:val="single" w:color="000000" w:themeColor="accent5" w:sz="12" w:space="0"/>
        </w:tcBorders>
      </w:tcPr>
    </w:tblStylePr>
    <w:tblStylePr w:type="lastCol">
      <w:rPr>
        <w:b/>
        <w:color w:val="245d8d" w:themeColor="accent5" w:themeShade="95"/>
      </w:rPr>
    </w:tblStylePr>
    <w:tblStylePr w:type="lastRow">
      <w:rPr>
        <w:b/>
        <w:color w:val="245d8d" w:themeColor="accent5" w:themeShade="95"/>
      </w:rPr>
    </w:tblStylePr>
    <w:tblStylePr w:type="wholeTable">
      <w:rPr>
        <w:color w:val="404040" w:themeColor="accent5" w:themeShade="95"/>
        <w:sz w:val="22"/>
      </w:rPr>
    </w:tblStylePr>
  </w:style>
  <w:style w:type="table" w:styleId="1426">
    <w:name w:val="Grid Table 6 Colorful - Accent 6"/>
    <w:basedOn w:val="1504"/>
    <w:uiPriority w:val="99"/>
    <w:pPr>
      <w:spacing w:after="0" w:line="240" w:lineRule="auto"/>
    </w:pPr>
    <w:tblPr>
      <w:tblStyleRowBandSize w:val="1"/>
      <w:tblStyleColBandSize w:val="1"/>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color w:val="404040" w:themeColor="accent5" w:themeShade="95"/>
        <w:sz w:val="22"/>
      </w:rPr>
      <w:tcPr>
        <w:shd w:val="clear" w:color="ffffff" w:fill="e2efd8" w:themeFill="accent6" w:themeFillTint="34"/>
      </w:tcPr>
    </w:tblStylePr>
    <w:tblStylePr w:type="band1Vert">
      <w:tcPr>
        <w:shd w:val="clear" w:color="ffffff" w:fill="e2efd8" w:themeFill="accent6" w:themeFillTint="34"/>
      </w:tcPr>
    </w:tblStylePr>
    <w:tblStylePr w:type="band2Horz">
      <w:rPr>
        <w:color w:val="404040" w:themeColor="accent5" w:themeShade="95"/>
        <w:sz w:val="22"/>
      </w:rPr>
    </w:tblStylePr>
    <w:tblStylePr w:type="firstCol">
      <w:rPr>
        <w:b/>
        <w:color w:val="245d8d" w:themeColor="accent5" w:themeShade="95"/>
      </w:rPr>
    </w:tblStylePr>
    <w:tblStylePr w:type="firstRow">
      <w:rPr>
        <w:b/>
        <w:color w:val="245d8d" w:themeColor="accent5" w:themeShade="95"/>
      </w:rPr>
      <w:tcPr>
        <w:tcBorders>
          <w:bottom w:val="single" w:color="000000" w:themeColor="accent6" w:sz="12" w:space="0"/>
        </w:tcBorders>
      </w:tcPr>
    </w:tblStylePr>
    <w:tblStylePr w:type="lastCol">
      <w:rPr>
        <w:b/>
        <w:color w:val="245d8d" w:themeColor="accent5" w:themeShade="95"/>
      </w:rPr>
    </w:tblStylePr>
    <w:tblStylePr w:type="lastRow">
      <w:rPr>
        <w:b/>
        <w:color w:val="245d8d" w:themeColor="accent5" w:themeShade="95"/>
      </w:rPr>
    </w:tblStylePr>
    <w:tblStylePr w:type="wholeTable">
      <w:rPr>
        <w:color w:val="404040" w:themeColor="accent5" w:themeShade="95"/>
        <w:sz w:val="22"/>
      </w:rPr>
    </w:tblStylePr>
  </w:style>
  <w:style w:type="table" w:styleId="1427">
    <w:name w:val="Grid Table 7 Colorful"/>
    <w:basedOn w:val="1504"/>
    <w:uiPriority w:val="99"/>
    <w:pPr>
      <w:spacing w:after="0" w:line="240" w:lineRule="auto"/>
    </w:pPr>
    <w:tblPr>
      <w:tblStyleRowBandSize w:val="1"/>
      <w:tblStyleColBandSize w:val="1"/>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color w:val="4a4a4a" w:themeColor="text1" w:themeTint="80" w:themeShade="95"/>
        <w:sz w:val="22"/>
      </w:rPr>
      <w:tcPr>
        <w:shd w:val="clear" w:color="ffffff" w:fill="f2f2f2" w:themeFill="text1" w:themeFillTint="00"/>
      </w:tcPr>
    </w:tblStylePr>
    <w:tblStylePr w:type="band1Vert">
      <w:tcPr>
        <w:shd w:val="clear" w:color="ffffff" w:fill="f2f2f2" w:themeFill="text1" w:themeFillTint="00"/>
      </w:tcPr>
    </w:tblStylePr>
    <w:tblStylePr w:type="band2Horz">
      <w:rPr>
        <w:color w:val="4a4a4a" w:themeColor="text1" w:themeTint="80" w:themeShade="95"/>
        <w:sz w:val="22"/>
      </w:rPr>
    </w:tblStylePr>
    <w:tblStylePr w:type="firstCol">
      <w:rPr>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sz="4" w:space="0"/>
        </w:tcBorders>
      </w:tcPr>
    </w:tblStylePr>
    <w:tblStylePr w:type="firstRow">
      <w:rPr>
        <w:b/>
        <w:color w:val="4a4a4a" w:themeColor="text1" w:themeTint="80" w:themeShade="95"/>
        <w:sz w:val="22"/>
      </w:rPr>
      <w:tcPr>
        <w:shd w:val="clear" w:color="ffffff" w:fill="ffffff" w:themeFill="light1"/>
        <w:tcBorders>
          <w:top w:val="none" w:color="000000" w:sz="4" w:space="0"/>
          <w:left w:val="none" w:color="000000" w:sz="4" w:space="0"/>
          <w:bottom w:val="single" w:color="000000" w:themeColor="text1" w:sz="4" w:space="0"/>
          <w:right w:val="none" w:color="000000" w:sz="4" w:space="0"/>
        </w:tcBorders>
      </w:tcPr>
    </w:tblStylePr>
    <w:tblStylePr w:type="lastCol">
      <w:rPr>
        <w:i/>
        <w:color w:val="4a4a4a" w:themeColor="text1" w:themeTint="80" w:themeShade="95"/>
        <w:sz w:val="22"/>
      </w:rPr>
      <w:tcPr>
        <w:shd w:val="clear" w:color="ffffff"/>
        <w:tcBorders>
          <w:top w:val="none" w:color="000000" w:sz="4" w:space="0"/>
          <w:left w:val="single" w:color="000000" w:themeColor="text1" w:sz="4" w:space="0"/>
          <w:bottom w:val="none" w:color="000000" w:sz="4" w:space="0"/>
          <w:right w:val="none" w:color="000000" w:sz="4" w:space="0"/>
        </w:tcBorders>
      </w:tcPr>
    </w:tblStylePr>
    <w:tblStylePr w:type="lastRow">
      <w:rPr>
        <w:b/>
        <w:color w:val="4a4a4a" w:themeColor="text1" w:themeTint="80" w:themeShade="95"/>
        <w:sz w:val="22"/>
      </w:rPr>
      <w:tcPr>
        <w:shd w:val="clear" w:color="ffffff" w:fill="ffffff" w:themeFill="light1"/>
        <w:tcBorders>
          <w:top w:val="single" w:color="000000" w:themeColor="text1" w:sz="4" w:space="0"/>
          <w:left w:val="none" w:color="000000" w:sz="4" w:space="0"/>
          <w:bottom w:val="none" w:color="000000" w:sz="4" w:space="0"/>
          <w:right w:val="none" w:color="000000" w:sz="4" w:space="0"/>
        </w:tcBorders>
      </w:tcPr>
    </w:tblStylePr>
  </w:style>
  <w:style w:type="table" w:styleId="1428">
    <w:name w:val="Grid Table 7 Colorful - Accent 1"/>
    <w:basedOn w:val="1504"/>
    <w:uiPriority w:val="99"/>
    <w:pPr>
      <w:spacing w:after="0" w:line="240" w:lineRule="auto"/>
    </w:pPr>
    <w:tblPr>
      <w:tblStyleRowBandSize w:val="1"/>
      <w:tblStyleColBandSize w:val="1"/>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color w:val="3664a9" w:themeColor="accent1" w:themeTint="80" w:themeShade="95"/>
        <w:sz w:val="22"/>
      </w:rPr>
      <w:tcPr>
        <w:shd w:val="clear" w:color="ffffff" w:fill="d9e2f2" w:themeFill="accent1" w:themeFillTint="34"/>
      </w:tcPr>
    </w:tblStylePr>
    <w:tblStylePr w:type="band1Vert">
      <w:tcPr>
        <w:shd w:val="clear" w:color="ffffff" w:fill="d9e2f2" w:themeFill="accent1" w:themeFillTint="34"/>
      </w:tcPr>
    </w:tblStylePr>
    <w:tblStylePr w:type="band2Horz">
      <w:rPr>
        <w:color w:val="3664a9" w:themeColor="accent1" w:themeTint="80" w:themeShade="95"/>
        <w:sz w:val="22"/>
      </w:rPr>
    </w:tblStylePr>
    <w:tblStylePr w:type="firstCol">
      <w:rPr>
        <w:i/>
        <w:color w:val="3664a9"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b/>
        <w:color w:val="3664a9" w:themeColor="accent1" w:themeTint="80" w:themeShade="95"/>
        <w:sz w:val="22"/>
      </w:rPr>
      <w:tcPr>
        <w:shd w:val="clear" w:color="ffffff"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i/>
        <w:color w:val="3664a9" w:themeColor="accent1" w:themeTint="80"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b/>
        <w:color w:val="3664a9" w:themeColor="accent1" w:themeTint="80" w:themeShade="95"/>
        <w:sz w:val="22"/>
      </w:rPr>
      <w:tcPr>
        <w:shd w:val="clear" w:color="ffffff" w:fill="ffffff" w:themeFill="light1"/>
        <w:tcBorders>
          <w:top w:val="single" w:color="000000" w:themeColor="accent1" w:sz="4" w:space="0"/>
          <w:left w:val="none" w:color="000000" w:sz="4" w:space="0"/>
          <w:bottom w:val="none" w:color="000000" w:sz="4" w:space="0"/>
          <w:right w:val="none" w:color="000000" w:sz="4" w:space="0"/>
        </w:tcBorders>
      </w:tcPr>
    </w:tblStylePr>
  </w:style>
  <w:style w:type="table" w:styleId="1429">
    <w:name w:val="Grid Table 7 Colorful - Accent 2"/>
    <w:basedOn w:val="1504"/>
    <w:uiPriority w:val="99"/>
    <w:pPr>
      <w:spacing w:after="0" w:line="240" w:lineRule="auto"/>
    </w:pPr>
    <w:tblPr>
      <w:tblStyleRowBandSize w:val="1"/>
      <w:tblStyleColBandSize w:val="1"/>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color w:val="c95712" w:themeColor="accent2" w:themeTint="97" w:themeShade="95"/>
        <w:sz w:val="22"/>
      </w:rPr>
      <w:tcPr>
        <w:shd w:val="clear" w:color="ffffff" w:fill="fbe5d6" w:themeFill="accent2" w:themeFillTint="32"/>
      </w:tcPr>
    </w:tblStylePr>
    <w:tblStylePr w:type="band1Vert">
      <w:tcPr>
        <w:shd w:val="clear" w:color="ffffff" w:fill="fbe5d6" w:themeFill="accent2" w:themeFillTint="32"/>
      </w:tcPr>
    </w:tblStylePr>
    <w:tblStylePr w:type="band2Horz">
      <w:rPr>
        <w:color w:val="c95712" w:themeColor="accent2" w:themeTint="97" w:themeShade="95"/>
        <w:sz w:val="22"/>
      </w:rPr>
    </w:tblStylePr>
    <w:tblStylePr w:type="firstCol">
      <w:rPr>
        <w:i/>
        <w:color w:val="c95712"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sz="4" w:space="0"/>
        </w:tcBorders>
      </w:tcPr>
    </w:tblStylePr>
    <w:tblStylePr w:type="firstRow">
      <w:rPr>
        <w:b/>
        <w:color w:val="c95712" w:themeColor="accent2" w:themeTint="97" w:themeShade="95"/>
        <w:sz w:val="22"/>
      </w:rPr>
      <w:tcPr>
        <w:shd w:val="clear" w:color="ffffff" w:fill="ffffff" w:themeFill="light1"/>
        <w:tcBorders>
          <w:top w:val="none" w:color="000000" w:sz="4" w:space="0"/>
          <w:left w:val="none" w:color="000000" w:sz="4" w:space="0"/>
          <w:bottom w:val="single" w:color="000000" w:themeColor="accent2" w:sz="4" w:space="0"/>
          <w:right w:val="none" w:color="000000" w:sz="4" w:space="0"/>
        </w:tcBorders>
      </w:tcPr>
    </w:tblStylePr>
    <w:tblStylePr w:type="lastCol">
      <w:rPr>
        <w:i/>
        <w:color w:val="c95712" w:themeColor="accent2" w:themeTint="97" w:themeShade="95"/>
        <w:sz w:val="22"/>
      </w:rPr>
      <w:tcPr>
        <w:shd w:val="clear" w:color="ffffff"/>
        <w:tcBorders>
          <w:top w:val="none" w:color="000000" w:sz="4" w:space="0"/>
          <w:left w:val="single" w:color="000000" w:themeColor="accent2" w:sz="4" w:space="0"/>
          <w:bottom w:val="none" w:color="000000" w:sz="4" w:space="0"/>
          <w:right w:val="none" w:color="000000" w:sz="4" w:space="0"/>
        </w:tcBorders>
      </w:tcPr>
    </w:tblStylePr>
    <w:tblStylePr w:type="lastRow">
      <w:rPr>
        <w:b/>
        <w:color w:val="c95712" w:themeColor="accent2" w:themeTint="97" w:themeShade="95"/>
        <w:sz w:val="22"/>
      </w:rPr>
      <w:tcPr>
        <w:shd w:val="clear" w:color="ffffff" w:fill="ffffff" w:themeFill="light1"/>
        <w:tcBorders>
          <w:top w:val="single" w:color="000000" w:themeColor="accent2" w:sz="4" w:space="0"/>
          <w:left w:val="none" w:color="000000" w:sz="4" w:space="0"/>
          <w:bottom w:val="none" w:color="000000" w:sz="4" w:space="0"/>
          <w:right w:val="none" w:color="000000" w:sz="4" w:space="0"/>
        </w:tcBorders>
      </w:tcPr>
    </w:tblStylePr>
  </w:style>
  <w:style w:type="table" w:styleId="1430">
    <w:name w:val="Grid Table 7 Colorful - Accent 3"/>
    <w:basedOn w:val="1504"/>
    <w:uiPriority w:val="99"/>
    <w:pPr>
      <w:spacing w:after="0" w:line="240" w:lineRule="auto"/>
    </w:pPr>
    <w:tblPr>
      <w:tblStyleRowBandSize w:val="1"/>
      <w:tblStyleColBandSize w:val="1"/>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color w:val="606060" w:themeColor="accent3" w:themeTint="FE" w:themeShade="95"/>
        <w:sz w:val="22"/>
      </w:rPr>
      <w:tcPr>
        <w:shd w:val="clear" w:color="ffffff" w:fill="ededed" w:themeFill="accent3" w:themeFillTint="34"/>
      </w:tcPr>
    </w:tblStylePr>
    <w:tblStylePr w:type="band1Vert">
      <w:tcPr>
        <w:shd w:val="clear" w:color="ffffff" w:fill="ededed" w:themeFill="accent3" w:themeFillTint="34"/>
      </w:tcPr>
    </w:tblStylePr>
    <w:tblStylePr w:type="band2Horz">
      <w:rPr>
        <w:color w:val="606060" w:themeColor="accent3" w:themeTint="FE" w:themeShade="95"/>
        <w:sz w:val="22"/>
      </w:rPr>
    </w:tblStylePr>
    <w:tblStylePr w:type="firstCol">
      <w:rPr>
        <w:i/>
        <w:color w:val="606060"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sz="4" w:space="0"/>
        </w:tcBorders>
      </w:tcPr>
    </w:tblStylePr>
    <w:tblStylePr w:type="firstRow">
      <w:rPr>
        <w:b/>
        <w:color w:val="606060" w:themeColor="accent3" w:themeTint="FE" w:themeShade="95"/>
        <w:sz w:val="22"/>
      </w:rPr>
      <w:tcPr>
        <w:shd w:val="clear" w:color="ffffff" w:fill="ffffff" w:themeFill="light1"/>
        <w:tcBorders>
          <w:top w:val="none" w:color="000000" w:sz="4" w:space="0"/>
          <w:left w:val="none" w:color="000000" w:sz="4" w:space="0"/>
          <w:bottom w:val="single" w:color="000000" w:themeColor="accent3" w:sz="4" w:space="0"/>
          <w:right w:val="none" w:color="000000" w:sz="4" w:space="0"/>
        </w:tcBorders>
      </w:tcPr>
    </w:tblStylePr>
    <w:tblStylePr w:type="lastCol">
      <w:rPr>
        <w:i/>
        <w:color w:val="606060" w:themeColor="accent3" w:themeTint="FE" w:themeShade="95"/>
        <w:sz w:val="22"/>
      </w:rPr>
      <w:tcPr>
        <w:shd w:val="clear" w:color="ffffff"/>
        <w:tcBorders>
          <w:top w:val="none" w:color="000000" w:sz="4" w:space="0"/>
          <w:left w:val="single" w:color="000000" w:themeColor="accent3" w:sz="4" w:space="0"/>
          <w:bottom w:val="none" w:color="000000" w:sz="4" w:space="0"/>
          <w:right w:val="none" w:color="000000" w:sz="4" w:space="0"/>
        </w:tcBorders>
      </w:tcPr>
    </w:tblStylePr>
    <w:tblStylePr w:type="lastRow">
      <w:rPr>
        <w:b/>
        <w:color w:val="606060" w:themeColor="accent3" w:themeTint="FE" w:themeShade="95"/>
        <w:sz w:val="22"/>
      </w:rPr>
      <w:tcPr>
        <w:shd w:val="clear" w:color="ffffff" w:fill="ffffff" w:themeFill="light1"/>
        <w:tcBorders>
          <w:top w:val="single" w:color="000000" w:themeColor="accent3" w:sz="4" w:space="0"/>
          <w:left w:val="none" w:color="000000" w:sz="4" w:space="0"/>
          <w:bottom w:val="none" w:color="000000" w:sz="4" w:space="0"/>
          <w:right w:val="none" w:color="000000" w:sz="4" w:space="0"/>
        </w:tcBorders>
      </w:tcPr>
    </w:tblStylePr>
  </w:style>
  <w:style w:type="table" w:styleId="1431">
    <w:name w:val="Grid Table 7 Colorful - Accent 4"/>
    <w:basedOn w:val="1504"/>
    <w:uiPriority w:val="99"/>
    <w:pPr>
      <w:spacing w:after="0" w:line="240" w:lineRule="auto"/>
    </w:pPr>
    <w:tblPr>
      <w:tblStyleRowBandSize w:val="1"/>
      <w:tblStyleColBandSize w:val="1"/>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color w:val="cd9600" w:themeColor="accent4" w:themeTint="9A" w:themeShade="95"/>
        <w:sz w:val="22"/>
      </w:rPr>
      <w:tcPr>
        <w:shd w:val="clear" w:color="ffffff" w:fill="fef2cb" w:themeFill="accent4" w:themeFillTint="34"/>
      </w:tcPr>
    </w:tblStylePr>
    <w:tblStylePr w:type="band1Vert">
      <w:tcPr>
        <w:shd w:val="clear" w:color="ffffff" w:fill="fef2cb" w:themeFill="accent4" w:themeFillTint="34"/>
      </w:tcPr>
    </w:tblStylePr>
    <w:tblStylePr w:type="band2Horz">
      <w:rPr>
        <w:color w:val="cd9600" w:themeColor="accent4" w:themeTint="9A" w:themeShade="95"/>
        <w:sz w:val="22"/>
      </w:rPr>
    </w:tblStylePr>
    <w:tblStylePr w:type="firstCol">
      <w:rPr>
        <w:i/>
        <w:color w:val="cd9600"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sz="4" w:space="0"/>
        </w:tcBorders>
      </w:tcPr>
    </w:tblStylePr>
    <w:tblStylePr w:type="firstRow">
      <w:rPr>
        <w:b/>
        <w:color w:val="cd9600" w:themeColor="accent4" w:themeTint="9A" w:themeShade="95"/>
        <w:sz w:val="22"/>
      </w:rPr>
      <w:tcPr>
        <w:shd w:val="clear" w:color="ffffff" w:fill="ffffff" w:themeFill="light1"/>
        <w:tcBorders>
          <w:top w:val="none" w:color="000000" w:sz="4" w:space="0"/>
          <w:left w:val="none" w:color="000000" w:sz="4" w:space="0"/>
          <w:bottom w:val="single" w:color="000000" w:themeColor="accent4" w:sz="4" w:space="0"/>
          <w:right w:val="none" w:color="000000" w:sz="4" w:space="0"/>
        </w:tcBorders>
      </w:tcPr>
    </w:tblStylePr>
    <w:tblStylePr w:type="lastCol">
      <w:rPr>
        <w:i/>
        <w:color w:val="cd9600" w:themeColor="accent4" w:themeTint="9A" w:themeShade="95"/>
        <w:sz w:val="22"/>
      </w:rPr>
      <w:tcPr>
        <w:shd w:val="clear" w:color="ffffff"/>
        <w:tcBorders>
          <w:top w:val="none" w:color="000000" w:sz="4" w:space="0"/>
          <w:left w:val="single" w:color="000000" w:themeColor="accent4" w:sz="4" w:space="0"/>
          <w:bottom w:val="none" w:color="000000" w:sz="4" w:space="0"/>
          <w:right w:val="none" w:color="000000" w:sz="4" w:space="0"/>
        </w:tcBorders>
      </w:tcPr>
    </w:tblStylePr>
    <w:tblStylePr w:type="lastRow">
      <w:rPr>
        <w:b/>
        <w:color w:val="cd9600" w:themeColor="accent4" w:themeTint="9A" w:themeShade="95"/>
        <w:sz w:val="22"/>
      </w:rPr>
      <w:tcPr>
        <w:shd w:val="clear" w:color="ffffff" w:fill="ffffff" w:themeFill="light1"/>
        <w:tcBorders>
          <w:top w:val="single" w:color="000000" w:themeColor="accent4" w:sz="4" w:space="0"/>
          <w:left w:val="none" w:color="000000" w:sz="4" w:space="0"/>
          <w:bottom w:val="none" w:color="000000" w:sz="4" w:space="0"/>
          <w:right w:val="none" w:color="000000" w:sz="4" w:space="0"/>
        </w:tcBorders>
      </w:tcPr>
    </w:tblStylePr>
  </w:style>
  <w:style w:type="table" w:styleId="1432">
    <w:name w:val="Grid Table 7 Colorful - Accent 5"/>
    <w:basedOn w:val="1504"/>
    <w:uiPriority w:val="99"/>
    <w:pPr>
      <w:spacing w:after="0" w:line="240" w:lineRule="auto"/>
    </w:pPr>
    <w:tblPr>
      <w:tblStyleRowBandSize w:val="1"/>
      <w:tblStyleColBandSize w:val="1"/>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color w:val="245d8d" w:themeColor="accent5" w:themeShade="95"/>
        <w:sz w:val="22"/>
      </w:rPr>
      <w:tcPr>
        <w:shd w:val="clear" w:color="ffffff" w:fill="ddebf6" w:themeFill="accent5" w:themeFillTint="34"/>
      </w:tcPr>
    </w:tblStylePr>
    <w:tblStylePr w:type="band1Vert">
      <w:tcPr>
        <w:shd w:val="clear" w:color="ffffff" w:fill="ddebf6" w:themeFill="accent5" w:themeFillTint="34"/>
      </w:tcPr>
    </w:tblStylePr>
    <w:tblStylePr w:type="band2Horz">
      <w:rPr>
        <w:color w:val="245d8d" w:themeColor="accent5" w:themeShade="95"/>
        <w:sz w:val="22"/>
      </w:rPr>
    </w:tblStylePr>
    <w:tblStylePr w:type="firstCol">
      <w:rPr>
        <w:i/>
        <w:color w:val="245d8d"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sz="4" w:space="0"/>
        </w:tcBorders>
      </w:tcPr>
    </w:tblStylePr>
    <w:tblStylePr w:type="firstRow">
      <w:rPr>
        <w:b/>
        <w:color w:val="245d8d" w:themeColor="accent5" w:themeShade="95"/>
        <w:sz w:val="22"/>
      </w:rPr>
      <w:tcPr>
        <w:shd w:val="clear" w:color="ffffff" w:fill="ffffff" w:themeFill="light1"/>
        <w:tcBorders>
          <w:top w:val="none" w:color="000000" w:sz="4" w:space="0"/>
          <w:left w:val="none" w:color="000000" w:sz="4" w:space="0"/>
          <w:bottom w:val="single" w:color="000000" w:themeColor="accent5" w:sz="4" w:space="0"/>
          <w:right w:val="none" w:color="000000" w:sz="4" w:space="0"/>
        </w:tcBorders>
      </w:tcPr>
    </w:tblStylePr>
    <w:tblStylePr w:type="lastCol">
      <w:rPr>
        <w:i/>
        <w:color w:val="245d8d" w:themeColor="accent5" w:themeShade="95"/>
        <w:sz w:val="22"/>
      </w:rPr>
      <w:tcPr>
        <w:shd w:val="clear" w:color="ffffff"/>
        <w:tcBorders>
          <w:top w:val="none" w:color="000000" w:sz="4" w:space="0"/>
          <w:left w:val="single" w:color="000000" w:themeColor="accent5" w:sz="4" w:space="0"/>
          <w:bottom w:val="none" w:color="000000" w:sz="4" w:space="0"/>
          <w:right w:val="none" w:color="000000" w:sz="4" w:space="0"/>
        </w:tcBorders>
      </w:tcPr>
    </w:tblStylePr>
    <w:tblStylePr w:type="lastRow">
      <w:rPr>
        <w:b/>
        <w:color w:val="245d8d" w:themeColor="accent5" w:themeShade="95"/>
        <w:sz w:val="22"/>
      </w:rPr>
      <w:tcPr>
        <w:shd w:val="clear" w:color="ffffff" w:fill="ffffff" w:themeFill="light1"/>
        <w:tcBorders>
          <w:top w:val="single" w:color="000000" w:themeColor="accent5" w:sz="4" w:space="0"/>
          <w:left w:val="none" w:color="000000" w:sz="4" w:space="0"/>
          <w:bottom w:val="none" w:color="000000" w:sz="4" w:space="0"/>
          <w:right w:val="none" w:color="000000" w:sz="4" w:space="0"/>
        </w:tcBorders>
      </w:tcPr>
    </w:tblStylePr>
  </w:style>
  <w:style w:type="table" w:styleId="1433">
    <w:name w:val="Grid Table 7 Colorful - Accent 6"/>
    <w:basedOn w:val="1504"/>
    <w:uiPriority w:val="99"/>
    <w:pPr>
      <w:spacing w:after="0" w:line="240" w:lineRule="auto"/>
    </w:pPr>
    <w:tblPr>
      <w:tblStyleRowBandSize w:val="1"/>
      <w:tblStyleColBandSize w:val="1"/>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color w:val="426429" w:themeColor="accent6" w:themeShade="95"/>
        <w:sz w:val="22"/>
      </w:rPr>
      <w:tcPr>
        <w:shd w:val="clear" w:color="ffffff" w:fill="e2efd8" w:themeFill="accent6" w:themeFillTint="34"/>
      </w:tcPr>
    </w:tblStylePr>
    <w:tblStylePr w:type="band1Vert">
      <w:tcPr>
        <w:shd w:val="clear" w:color="ffffff" w:fill="e2efd8" w:themeFill="accent6" w:themeFillTint="34"/>
      </w:tcPr>
    </w:tblStylePr>
    <w:tblStylePr w:type="band2Horz">
      <w:rPr>
        <w:color w:val="426429" w:themeColor="accent6" w:themeShade="95"/>
        <w:sz w:val="22"/>
      </w:rPr>
    </w:tblStylePr>
    <w:tblStylePr w:type="firstCol">
      <w:rPr>
        <w:i/>
        <w:color w:val="426429"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sz="4" w:space="0"/>
        </w:tcBorders>
      </w:tcPr>
    </w:tblStylePr>
    <w:tblStylePr w:type="firstRow">
      <w:rPr>
        <w:b/>
        <w:color w:val="426429" w:themeColor="accent6" w:themeShade="95"/>
        <w:sz w:val="22"/>
      </w:rPr>
      <w:tcPr>
        <w:shd w:val="clear" w:color="ffffff" w:fill="ffffff" w:themeFill="light1"/>
        <w:tcBorders>
          <w:top w:val="none" w:color="000000" w:sz="4" w:space="0"/>
          <w:left w:val="none" w:color="000000" w:sz="4" w:space="0"/>
          <w:bottom w:val="single" w:color="000000" w:themeColor="accent6" w:sz="4" w:space="0"/>
          <w:right w:val="none" w:color="000000" w:sz="4" w:space="0"/>
        </w:tcBorders>
      </w:tcPr>
    </w:tblStylePr>
    <w:tblStylePr w:type="lastCol">
      <w:rPr>
        <w:i/>
        <w:color w:val="426429" w:themeColor="accent6" w:themeShade="95"/>
        <w:sz w:val="22"/>
      </w:rPr>
      <w:tcPr>
        <w:shd w:val="clear" w:color="ffffff"/>
        <w:tcBorders>
          <w:top w:val="none" w:color="000000" w:sz="4" w:space="0"/>
          <w:left w:val="single" w:color="000000" w:themeColor="accent6" w:sz="4" w:space="0"/>
          <w:bottom w:val="none" w:color="000000" w:sz="4" w:space="0"/>
          <w:right w:val="none" w:color="000000" w:sz="4" w:space="0"/>
        </w:tcBorders>
      </w:tcPr>
    </w:tblStylePr>
    <w:tblStylePr w:type="lastRow">
      <w:rPr>
        <w:b/>
        <w:color w:val="426429" w:themeColor="accent6" w:themeShade="95"/>
        <w:sz w:val="22"/>
      </w:rPr>
      <w:tcPr>
        <w:shd w:val="clear" w:color="ffffff" w:fill="ffffff" w:themeFill="light1"/>
        <w:tcBorders>
          <w:top w:val="single" w:color="000000" w:themeColor="accent6" w:sz="4" w:space="0"/>
          <w:left w:val="none" w:color="000000" w:sz="4" w:space="0"/>
          <w:bottom w:val="none" w:color="000000" w:sz="4" w:space="0"/>
          <w:right w:val="none" w:color="000000" w:sz="4" w:space="0"/>
        </w:tcBorders>
      </w:tcPr>
    </w:tblStylePr>
  </w:style>
  <w:style w:type="table" w:styleId="1434">
    <w:name w:val="List Table 1 Light"/>
    <w:basedOn w:val="1504"/>
    <w:uiPriority w:val="99"/>
    <w:pPr>
      <w:spacing w:after="0" w:line="240" w:lineRule="auto"/>
    </w:pPr>
    <w:tblPr>
      <w:tblStyleRowBandSize w:val="1"/>
      <w:tblStyleColBandSize w:val="1"/>
    </w:tblPr>
    <w:tblStylePr w:type="band1Horz">
      <w:tcPr>
        <w:shd w:val="clear" w:color="ffffff" w:fill="bfbfbf" w:themeFill="text1" w:themeFillTint="40"/>
      </w:tcPr>
    </w:tblStylePr>
    <w:tblStylePr w:type="band1Vert">
      <w:tcPr>
        <w:shd w:val="clear" w:color="ffffff"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1435">
    <w:name w:val="List Table 1 Light - Accent 1"/>
    <w:basedOn w:val="1504"/>
    <w:uiPriority w:val="99"/>
    <w:pPr>
      <w:spacing w:after="0" w:line="240" w:lineRule="auto"/>
    </w:pPr>
    <w:tblPr>
      <w:tblStyleRowBandSize w:val="1"/>
      <w:tblStyleColBandSize w:val="1"/>
    </w:tblPr>
    <w:tblStylePr w:type="band1Horz">
      <w:tcPr>
        <w:shd w:val="clear" w:color="ffffff" w:fill="cfdcf0" w:themeFill="accent1" w:themeFillTint="40"/>
      </w:tcPr>
    </w:tblStylePr>
    <w:tblStylePr w:type="band1Vert">
      <w:tcPr>
        <w:shd w:val="clear" w:color="ffffff" w:fill="cfdcf0"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1436">
    <w:name w:val="List Table 1 Light - Accent 2"/>
    <w:basedOn w:val="1504"/>
    <w:uiPriority w:val="99"/>
    <w:pPr>
      <w:spacing w:after="0" w:line="240" w:lineRule="auto"/>
    </w:pPr>
    <w:tblPr>
      <w:tblStyleRowBandSize w:val="1"/>
      <w:tblStyleColBandSize w:val="1"/>
    </w:tblPr>
    <w:tblStylePr w:type="band1Horz">
      <w:tcPr>
        <w:shd w:val="clear" w:color="ffffff" w:fill="fadecb" w:themeFill="accent2" w:themeFillTint="40"/>
      </w:tcPr>
    </w:tblStylePr>
    <w:tblStylePr w:type="band1Vert">
      <w:tcPr>
        <w:shd w:val="clear" w:color="ffffff" w:fill="fadecb"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1437">
    <w:name w:val="List Table 1 Light - Accent 3"/>
    <w:basedOn w:val="1504"/>
    <w:uiPriority w:val="99"/>
    <w:pPr>
      <w:spacing w:after="0" w:line="240" w:lineRule="auto"/>
    </w:pPr>
    <w:tblPr>
      <w:tblStyleRowBandSize w:val="1"/>
      <w:tblStyleColBandSize w:val="1"/>
    </w:tblPr>
    <w:tblStylePr w:type="band1Horz">
      <w:tcPr>
        <w:shd w:val="clear" w:color="ffffff" w:fill="e8e8e8" w:themeFill="accent3" w:themeFillTint="40"/>
      </w:tcPr>
    </w:tblStylePr>
    <w:tblStylePr w:type="band1Vert">
      <w:tcPr>
        <w:shd w:val="clear" w:color="ffffff" w:fill="e8e8e8"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1438">
    <w:name w:val="List Table 1 Light - Accent 4"/>
    <w:basedOn w:val="1504"/>
    <w:uiPriority w:val="99"/>
    <w:pPr>
      <w:spacing w:after="0" w:line="240" w:lineRule="auto"/>
    </w:pPr>
    <w:tblPr>
      <w:tblStyleRowBandSize w:val="1"/>
      <w:tblStyleColBandSize w:val="1"/>
    </w:tblPr>
    <w:tblStylePr w:type="band1Horz">
      <w:tcPr>
        <w:shd w:val="clear" w:color="ffffff" w:fill="ffefbf" w:themeFill="accent4" w:themeFillTint="40"/>
      </w:tcPr>
    </w:tblStylePr>
    <w:tblStylePr w:type="band1Vert">
      <w:tcPr>
        <w:shd w:val="clear" w:color="ffffff" w:fill="ffefbf"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1439">
    <w:name w:val="List Table 1 Light - Accent 5"/>
    <w:basedOn w:val="1504"/>
    <w:uiPriority w:val="99"/>
    <w:pPr>
      <w:spacing w:after="0" w:line="240" w:lineRule="auto"/>
    </w:pPr>
    <w:tblPr>
      <w:tblStyleRowBandSize w:val="1"/>
      <w:tblStyleColBandSize w:val="1"/>
    </w:tblPr>
    <w:tblStylePr w:type="band1Horz">
      <w:tcPr>
        <w:shd w:val="clear" w:color="ffffff" w:fill="d5e6f4" w:themeFill="accent5" w:themeFillTint="40"/>
      </w:tcPr>
    </w:tblStylePr>
    <w:tblStylePr w:type="band1Vert">
      <w:tcPr>
        <w:shd w:val="clear" w:color="ffffff" w:fill="d5e6f4"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1440">
    <w:name w:val="List Table 1 Light - Accent 6"/>
    <w:basedOn w:val="1504"/>
    <w:uiPriority w:val="99"/>
    <w:pPr>
      <w:spacing w:after="0" w:line="240" w:lineRule="auto"/>
    </w:pPr>
    <w:tblPr>
      <w:tblStyleRowBandSize w:val="1"/>
      <w:tblStyleColBandSize w:val="1"/>
    </w:tblPr>
    <w:tblStylePr w:type="band1Horz">
      <w:tcPr>
        <w:shd w:val="clear" w:color="ffffff" w:fill="dbebd0" w:themeFill="accent6" w:themeFillTint="40"/>
      </w:tcPr>
    </w:tblStylePr>
    <w:tblStylePr w:type="band1Vert">
      <w:tcPr>
        <w:shd w:val="clear" w:color="ffffff" w:fill="dbebd0"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1441">
    <w:name w:val="List Table 2"/>
    <w:basedOn w:val="1504"/>
    <w:uiPriority w:val="99"/>
    <w:pPr>
      <w:spacing w:after="0" w:line="240" w:lineRule="auto"/>
    </w:pPr>
    <w:tblPr>
      <w:tblStyleRowBandSize w:val="1"/>
      <w:tblStyleColBandSize w:val="1"/>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color w:val="404040"/>
        <w:sz w:val="22"/>
      </w:rPr>
      <w:tcPr>
        <w:shd w:val="clear" w:color="ffffff" w:fill="bfbfbf" w:themeFill="text1" w:themeFillTint="40"/>
      </w:tcPr>
    </w:tblStylePr>
    <w:tblStylePr w:type="band1Vert">
      <w:rPr>
        <w:color w:val="404040"/>
        <w:sz w:val="22"/>
      </w:rPr>
      <w:tcPr>
        <w:shd w:val="clear" w:color="ffffff" w:fill="bfbfbf" w:themeFill="text1" w:themeFillTint="40"/>
      </w:tcPr>
    </w:tblStylePr>
    <w:tblStylePr w:type="firstCol">
      <w:rPr>
        <w:b/>
        <w:color w:val="404040"/>
        <w:sz w:val="22"/>
      </w:rPr>
    </w:tblStylePr>
    <w:tblStylePr w:type="firstRow">
      <w:rPr>
        <w:b/>
        <w:color w:val="404040"/>
        <w:sz w:val="22"/>
      </w:rPr>
      <w:tcPr>
        <w:tcBorders>
          <w:top w:val="single" w:color="000000" w:themeColor="text1" w:sz="4" w:space="0"/>
          <w:left w:val="none" w:color="000000" w:sz="4" w:space="0"/>
          <w:bottom w:val="single" w:color="000000" w:themeColor="text1" w:sz="4" w:space="0"/>
          <w:right w:val="none" w:color="000000" w:sz="4" w:space="0"/>
        </w:tcBorders>
      </w:tcPr>
    </w:tblStylePr>
    <w:tblStylePr w:type="lastCol">
      <w:rPr>
        <w:b/>
        <w:color w:val="404040"/>
        <w:sz w:val="22"/>
      </w:rPr>
    </w:tblStylePr>
    <w:tblStylePr w:type="lastRow">
      <w:rPr>
        <w:b/>
        <w:color w:val="404040"/>
        <w:sz w:val="22"/>
      </w:rPr>
      <w:tcPr>
        <w:tcBorders>
          <w:top w:val="single" w:color="000000" w:themeColor="text1" w:sz="4" w:space="0"/>
          <w:left w:val="none" w:color="000000" w:sz="4" w:space="0"/>
          <w:bottom w:val="single" w:color="000000" w:themeColor="text1" w:sz="4" w:space="0"/>
          <w:right w:val="none" w:color="000000" w:sz="4" w:space="0"/>
        </w:tcBorders>
      </w:tcPr>
    </w:tblStylePr>
  </w:style>
  <w:style w:type="table" w:styleId="1442">
    <w:name w:val="List Table 2 - Accent 1"/>
    <w:basedOn w:val="1504"/>
    <w:uiPriority w:val="99"/>
    <w:pPr>
      <w:spacing w:after="0" w:line="240" w:lineRule="auto"/>
    </w:pPr>
    <w:tblPr>
      <w:tblStyleRowBandSize w:val="1"/>
      <w:tblStyleColBandSize w:val="1"/>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color w:val="404040"/>
        <w:sz w:val="22"/>
      </w:rPr>
      <w:tcPr>
        <w:shd w:val="clear" w:color="ffffff" w:fill="cfdcf0" w:themeFill="accent1" w:themeFillTint="40"/>
      </w:tcPr>
    </w:tblStylePr>
    <w:tblStylePr w:type="band1Vert">
      <w:rPr>
        <w:color w:val="404040"/>
        <w:sz w:val="22"/>
      </w:rPr>
      <w:tcPr>
        <w:shd w:val="clear" w:color="ffffff" w:fill="cfdcf0" w:themeFill="accent1" w:themeFillTint="40"/>
      </w:tcPr>
    </w:tblStylePr>
    <w:tblStylePr w:type="firstCol">
      <w:rPr>
        <w:b/>
        <w:color w:val="404040"/>
        <w:sz w:val="22"/>
      </w:rPr>
    </w:tblStylePr>
    <w:tblStylePr w:type="firstRow">
      <w:rPr>
        <w:b/>
        <w:color w:val="404040"/>
        <w:sz w:val="22"/>
      </w:rPr>
      <w:tcPr>
        <w:tcBorders>
          <w:top w:val="single" w:color="000000" w:themeColor="accent1" w:sz="4" w:space="0"/>
          <w:left w:val="none" w:color="000000" w:sz="4" w:space="0"/>
          <w:bottom w:val="single" w:color="000000" w:themeColor="accent1" w:sz="4" w:space="0"/>
          <w:right w:val="none" w:color="000000" w:sz="4" w:space="0"/>
        </w:tcBorders>
      </w:tcPr>
    </w:tblStylePr>
    <w:tblStylePr w:type="lastCol">
      <w:rPr>
        <w:b/>
        <w:color w:val="404040"/>
        <w:sz w:val="22"/>
      </w:rPr>
    </w:tblStylePr>
    <w:tblStylePr w:type="lastRow">
      <w:rPr>
        <w:b/>
        <w:color w:val="404040"/>
        <w:sz w:val="22"/>
      </w:rPr>
      <w:tcPr>
        <w:tcBorders>
          <w:top w:val="single" w:color="000000" w:themeColor="accent1" w:sz="4" w:space="0"/>
          <w:left w:val="none" w:color="000000" w:sz="4" w:space="0"/>
          <w:bottom w:val="single" w:color="000000" w:themeColor="accent1" w:sz="4" w:space="0"/>
          <w:right w:val="none" w:color="000000" w:sz="4" w:space="0"/>
        </w:tcBorders>
      </w:tcPr>
    </w:tblStylePr>
  </w:style>
  <w:style w:type="table" w:styleId="1443">
    <w:name w:val="List Table 2 - Accent 2"/>
    <w:basedOn w:val="1504"/>
    <w:uiPriority w:val="99"/>
    <w:pPr>
      <w:spacing w:after="0" w:line="240" w:lineRule="auto"/>
    </w:pPr>
    <w:tblPr>
      <w:tblStyleRowBandSize w:val="1"/>
      <w:tblStyleColBandSize w:val="1"/>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color w:val="404040"/>
        <w:sz w:val="22"/>
      </w:rPr>
      <w:tcPr>
        <w:shd w:val="clear" w:color="ffffff" w:fill="fadecb" w:themeFill="accent2" w:themeFillTint="40"/>
      </w:tcPr>
    </w:tblStylePr>
    <w:tblStylePr w:type="band1Vert">
      <w:rPr>
        <w:color w:val="404040"/>
        <w:sz w:val="22"/>
      </w:rPr>
      <w:tcPr>
        <w:shd w:val="clear" w:color="ffffff" w:fill="fadecb" w:themeFill="accent2" w:themeFillTint="40"/>
      </w:tcPr>
    </w:tblStylePr>
    <w:tblStylePr w:type="firstCol">
      <w:rPr>
        <w:b/>
        <w:color w:val="404040"/>
        <w:sz w:val="22"/>
      </w:rPr>
    </w:tblStylePr>
    <w:tblStylePr w:type="firstRow">
      <w:rPr>
        <w:b/>
        <w:color w:val="404040"/>
        <w:sz w:val="22"/>
      </w:rPr>
      <w:tcPr>
        <w:tcBorders>
          <w:top w:val="single" w:color="000000" w:themeColor="accent2" w:sz="4" w:space="0"/>
          <w:left w:val="none" w:color="000000" w:sz="4" w:space="0"/>
          <w:bottom w:val="single" w:color="000000" w:themeColor="accent2" w:sz="4" w:space="0"/>
          <w:right w:val="none" w:color="000000" w:sz="4" w:space="0"/>
        </w:tcBorders>
      </w:tcPr>
    </w:tblStylePr>
    <w:tblStylePr w:type="lastCol">
      <w:rPr>
        <w:b/>
        <w:color w:val="404040"/>
        <w:sz w:val="22"/>
      </w:rPr>
    </w:tblStylePr>
    <w:tblStylePr w:type="lastRow">
      <w:rPr>
        <w:b/>
        <w:color w:val="404040"/>
        <w:sz w:val="22"/>
      </w:rPr>
      <w:tcPr>
        <w:tcBorders>
          <w:top w:val="single" w:color="000000" w:themeColor="accent2" w:sz="4" w:space="0"/>
          <w:left w:val="none" w:color="000000" w:sz="4" w:space="0"/>
          <w:bottom w:val="single" w:color="000000" w:themeColor="accent2" w:sz="4" w:space="0"/>
          <w:right w:val="none" w:color="000000" w:sz="4" w:space="0"/>
        </w:tcBorders>
      </w:tcPr>
    </w:tblStylePr>
  </w:style>
  <w:style w:type="table" w:styleId="1444">
    <w:name w:val="List Table 2 - Accent 3"/>
    <w:basedOn w:val="1504"/>
    <w:uiPriority w:val="99"/>
    <w:pPr>
      <w:spacing w:after="0" w:line="240" w:lineRule="auto"/>
    </w:pPr>
    <w:tblPr>
      <w:tblStyleRowBandSize w:val="1"/>
      <w:tblStyleColBandSize w:val="1"/>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color w:val="404040"/>
        <w:sz w:val="22"/>
      </w:rPr>
      <w:tcPr>
        <w:shd w:val="clear" w:color="ffffff" w:fill="e8e8e8" w:themeFill="accent3" w:themeFillTint="40"/>
      </w:tcPr>
    </w:tblStylePr>
    <w:tblStylePr w:type="band1Vert">
      <w:rPr>
        <w:color w:val="404040"/>
        <w:sz w:val="22"/>
      </w:rPr>
      <w:tcPr>
        <w:shd w:val="clear" w:color="ffffff" w:fill="e8e8e8" w:themeFill="accent3" w:themeFillTint="40"/>
      </w:tcPr>
    </w:tblStylePr>
    <w:tblStylePr w:type="firstCol">
      <w:rPr>
        <w:b/>
        <w:color w:val="404040"/>
        <w:sz w:val="22"/>
      </w:rPr>
    </w:tblStylePr>
    <w:tblStylePr w:type="firstRow">
      <w:rPr>
        <w:b/>
        <w:color w:val="404040"/>
        <w:sz w:val="22"/>
      </w:rPr>
      <w:tcPr>
        <w:tcBorders>
          <w:top w:val="single" w:color="000000" w:themeColor="accent3" w:sz="4" w:space="0"/>
          <w:left w:val="none" w:color="000000" w:sz="4" w:space="0"/>
          <w:bottom w:val="single" w:color="000000" w:themeColor="accent3" w:sz="4" w:space="0"/>
          <w:right w:val="none" w:color="000000" w:sz="4" w:space="0"/>
        </w:tcBorders>
      </w:tcPr>
    </w:tblStylePr>
    <w:tblStylePr w:type="lastCol">
      <w:rPr>
        <w:b/>
        <w:color w:val="404040"/>
        <w:sz w:val="22"/>
      </w:rPr>
    </w:tblStylePr>
    <w:tblStylePr w:type="lastRow">
      <w:rPr>
        <w:b/>
        <w:color w:val="404040"/>
        <w:sz w:val="22"/>
      </w:rPr>
      <w:tcPr>
        <w:tcBorders>
          <w:top w:val="single" w:color="000000" w:themeColor="accent3" w:sz="4" w:space="0"/>
          <w:left w:val="none" w:color="000000" w:sz="4" w:space="0"/>
          <w:bottom w:val="single" w:color="000000" w:themeColor="accent3" w:sz="4" w:space="0"/>
          <w:right w:val="none" w:color="000000" w:sz="4" w:space="0"/>
        </w:tcBorders>
      </w:tcPr>
    </w:tblStylePr>
  </w:style>
  <w:style w:type="table" w:styleId="1445">
    <w:name w:val="List Table 2 - Accent 4"/>
    <w:basedOn w:val="1504"/>
    <w:uiPriority w:val="99"/>
    <w:pPr>
      <w:spacing w:after="0" w:line="240" w:lineRule="auto"/>
    </w:pPr>
    <w:tblPr>
      <w:tblStyleRowBandSize w:val="1"/>
      <w:tblStyleColBandSize w:val="1"/>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color w:val="404040"/>
        <w:sz w:val="22"/>
      </w:rPr>
      <w:tcPr>
        <w:shd w:val="clear" w:color="ffffff" w:fill="ffefbf" w:themeFill="accent4" w:themeFillTint="40"/>
      </w:tcPr>
    </w:tblStylePr>
    <w:tblStylePr w:type="band1Vert">
      <w:rPr>
        <w:color w:val="404040"/>
        <w:sz w:val="22"/>
      </w:rPr>
      <w:tcPr>
        <w:shd w:val="clear" w:color="ffffff" w:fill="ffefbf" w:themeFill="accent4" w:themeFillTint="40"/>
      </w:tcPr>
    </w:tblStylePr>
    <w:tblStylePr w:type="firstCol">
      <w:rPr>
        <w:b/>
        <w:color w:val="404040"/>
        <w:sz w:val="22"/>
      </w:rPr>
    </w:tblStylePr>
    <w:tblStylePr w:type="firstRow">
      <w:rPr>
        <w:b/>
        <w:color w:val="404040"/>
        <w:sz w:val="22"/>
      </w:rPr>
      <w:tcPr>
        <w:tcBorders>
          <w:top w:val="single" w:color="000000" w:themeColor="accent4" w:sz="4" w:space="0"/>
          <w:left w:val="none" w:color="000000" w:sz="4" w:space="0"/>
          <w:bottom w:val="single" w:color="000000" w:themeColor="accent4" w:sz="4" w:space="0"/>
          <w:right w:val="none" w:color="000000" w:sz="4" w:space="0"/>
        </w:tcBorders>
      </w:tcPr>
    </w:tblStylePr>
    <w:tblStylePr w:type="lastCol">
      <w:rPr>
        <w:b/>
        <w:color w:val="404040"/>
        <w:sz w:val="22"/>
      </w:rPr>
    </w:tblStylePr>
    <w:tblStylePr w:type="lastRow">
      <w:rPr>
        <w:b/>
        <w:color w:val="404040"/>
        <w:sz w:val="22"/>
      </w:rPr>
      <w:tcPr>
        <w:tcBorders>
          <w:top w:val="single" w:color="000000" w:themeColor="accent4" w:sz="4" w:space="0"/>
          <w:left w:val="none" w:color="000000" w:sz="4" w:space="0"/>
          <w:bottom w:val="single" w:color="000000" w:themeColor="accent4" w:sz="4" w:space="0"/>
          <w:right w:val="none" w:color="000000" w:sz="4" w:space="0"/>
        </w:tcBorders>
      </w:tcPr>
    </w:tblStylePr>
  </w:style>
  <w:style w:type="table" w:styleId="1446">
    <w:name w:val="List Table 2 - Accent 5"/>
    <w:basedOn w:val="1504"/>
    <w:uiPriority w:val="99"/>
    <w:pPr>
      <w:spacing w:after="0" w:line="240" w:lineRule="auto"/>
    </w:pPr>
    <w:tblPr>
      <w:tblStyleRowBandSize w:val="1"/>
      <w:tblStyleColBandSize w:val="1"/>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color w:val="404040"/>
        <w:sz w:val="22"/>
      </w:rPr>
      <w:tcPr>
        <w:shd w:val="clear" w:color="ffffff" w:fill="d5e6f4" w:themeFill="accent5" w:themeFillTint="40"/>
      </w:tcPr>
    </w:tblStylePr>
    <w:tblStylePr w:type="band1Vert">
      <w:rPr>
        <w:color w:val="404040"/>
        <w:sz w:val="22"/>
      </w:rPr>
      <w:tcPr>
        <w:shd w:val="clear" w:color="ffffff" w:fill="d5e6f4" w:themeFill="accent5" w:themeFillTint="40"/>
      </w:tcPr>
    </w:tblStylePr>
    <w:tblStylePr w:type="firstCol">
      <w:rPr>
        <w:b/>
        <w:color w:val="404040"/>
        <w:sz w:val="22"/>
      </w:rPr>
    </w:tblStylePr>
    <w:tblStylePr w:type="firstRow">
      <w:rPr>
        <w:b/>
        <w:color w:val="404040"/>
        <w:sz w:val="22"/>
      </w:rPr>
      <w:tcPr>
        <w:tcBorders>
          <w:top w:val="single" w:color="000000" w:themeColor="accent5" w:sz="4" w:space="0"/>
          <w:left w:val="none" w:color="000000" w:sz="4" w:space="0"/>
          <w:bottom w:val="single" w:color="000000" w:themeColor="accent5" w:sz="4" w:space="0"/>
          <w:right w:val="none" w:color="000000" w:sz="4" w:space="0"/>
        </w:tcBorders>
      </w:tcPr>
    </w:tblStylePr>
    <w:tblStylePr w:type="lastCol">
      <w:rPr>
        <w:b/>
        <w:color w:val="404040"/>
        <w:sz w:val="22"/>
      </w:rPr>
    </w:tblStylePr>
    <w:tblStylePr w:type="lastRow">
      <w:rPr>
        <w:b/>
        <w:color w:val="404040"/>
        <w:sz w:val="22"/>
      </w:rPr>
      <w:tcPr>
        <w:tcBorders>
          <w:top w:val="single" w:color="000000" w:themeColor="accent5" w:sz="4" w:space="0"/>
          <w:left w:val="none" w:color="000000" w:sz="4" w:space="0"/>
          <w:bottom w:val="single" w:color="000000" w:themeColor="accent5" w:sz="4" w:space="0"/>
          <w:right w:val="none" w:color="000000" w:sz="4" w:space="0"/>
        </w:tcBorders>
      </w:tcPr>
    </w:tblStylePr>
  </w:style>
  <w:style w:type="table" w:styleId="1447">
    <w:name w:val="List Table 2 - Accent 6"/>
    <w:basedOn w:val="1504"/>
    <w:uiPriority w:val="99"/>
    <w:pPr>
      <w:spacing w:after="0" w:line="240" w:lineRule="auto"/>
    </w:pPr>
    <w:tblPr>
      <w:tblStyleRowBandSize w:val="1"/>
      <w:tblStyleColBandSize w:val="1"/>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color w:val="404040"/>
        <w:sz w:val="22"/>
      </w:rPr>
      <w:tcPr>
        <w:shd w:val="clear" w:color="ffffff" w:fill="dbebd0" w:themeFill="accent6" w:themeFillTint="40"/>
      </w:tcPr>
    </w:tblStylePr>
    <w:tblStylePr w:type="band1Vert">
      <w:rPr>
        <w:color w:val="404040"/>
        <w:sz w:val="22"/>
      </w:rPr>
      <w:tcPr>
        <w:shd w:val="clear" w:color="ffffff" w:fill="dbebd0" w:themeFill="accent6" w:themeFillTint="40"/>
      </w:tcPr>
    </w:tblStylePr>
    <w:tblStylePr w:type="firstCol">
      <w:rPr>
        <w:b/>
        <w:color w:val="404040"/>
        <w:sz w:val="22"/>
      </w:rPr>
    </w:tblStylePr>
    <w:tblStylePr w:type="firstRow">
      <w:rPr>
        <w:b/>
        <w:color w:val="404040"/>
        <w:sz w:val="22"/>
      </w:rPr>
      <w:tcPr>
        <w:tcBorders>
          <w:top w:val="single" w:color="000000" w:themeColor="accent6" w:sz="4" w:space="0"/>
          <w:left w:val="none" w:color="000000" w:sz="4" w:space="0"/>
          <w:bottom w:val="single" w:color="000000" w:themeColor="accent6" w:sz="4" w:space="0"/>
          <w:right w:val="none" w:color="000000" w:sz="4" w:space="0"/>
        </w:tcBorders>
      </w:tcPr>
    </w:tblStylePr>
    <w:tblStylePr w:type="lastCol">
      <w:rPr>
        <w:b/>
        <w:color w:val="404040"/>
        <w:sz w:val="22"/>
      </w:rPr>
    </w:tblStylePr>
    <w:tblStylePr w:type="lastRow">
      <w:rPr>
        <w:b/>
        <w:color w:val="404040"/>
        <w:sz w:val="22"/>
      </w:rPr>
      <w:tcPr>
        <w:tcBorders>
          <w:top w:val="single" w:color="000000" w:themeColor="accent6" w:sz="4" w:space="0"/>
          <w:left w:val="none" w:color="000000" w:sz="4" w:space="0"/>
          <w:bottom w:val="single" w:color="000000" w:themeColor="accent6" w:sz="4" w:space="0"/>
          <w:right w:val="none" w:color="000000" w:sz="4" w:space="0"/>
        </w:tcBorders>
      </w:tcPr>
    </w:tblStylePr>
  </w:style>
  <w:style w:type="table" w:styleId="1448">
    <w:name w:val="List Table 3"/>
    <w:basedOn w:val="1504"/>
    <w:uiPriority w:val="99"/>
    <w:pPr>
      <w:spacing w:after="0" w:line="240" w:lineRule="auto"/>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color w:val="404040"/>
        <w:sz w:val="22"/>
      </w:rPr>
      <w:tcPr>
        <w:tcBorders>
          <w:top w:val="single" w:color="000000" w:themeColor="text1" w:sz="4" w:space="0"/>
          <w:bottom w:val="single" w:color="000000" w:themeColor="text1" w:sz="4" w:space="0"/>
        </w:tcBorders>
      </w:tcPr>
    </w:tblStylePr>
    <w:tblStylePr w:type="band1Vert">
      <w:rPr>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b/>
        <w:color w:val="ffffff"/>
        <w:sz w:val="22"/>
      </w:rPr>
      <w:tcPr>
        <w:shd w:val="clear" w:color="ffffff" w:fill="000000" w:themeFill="text1"/>
      </w:tcPr>
    </w:tblStylePr>
    <w:tblStylePr w:type="lastCol">
      <w:rPr>
        <w:b/>
        <w:color w:val="404040"/>
      </w:rPr>
    </w:tblStylePr>
    <w:tblStylePr w:type="lastRow">
      <w:rPr>
        <w:b/>
        <w:color w:val="404040"/>
      </w:rPr>
    </w:tblStylePr>
  </w:style>
  <w:style w:type="table" w:styleId="1449">
    <w:name w:val="List Table 3 - Accent 1"/>
    <w:basedOn w:val="1504"/>
    <w:uiPriority w:val="99"/>
    <w:pPr>
      <w:spacing w:after="0" w:line="240" w:lineRule="auto"/>
    </w:pPr>
    <w:tblPr>
      <w:tblStyleRowBandSize w:val="1"/>
      <w:tblStyleColBandSize w:val="1"/>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color w:val="404040"/>
        <w:sz w:val="22"/>
      </w:rPr>
      <w:tcPr>
        <w:tcBorders>
          <w:top w:val="single" w:color="000000" w:themeColor="accent1" w:sz="4" w:space="0"/>
          <w:bottom w:val="single" w:color="000000" w:themeColor="accent1" w:sz="4" w:space="0"/>
        </w:tcBorders>
      </w:tcPr>
    </w:tblStylePr>
    <w:tblStylePr w:type="band1Vert">
      <w:rPr>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b/>
        <w:color w:val="ffffff"/>
        <w:sz w:val="22"/>
      </w:rPr>
      <w:tcPr>
        <w:shd w:val="clear" w:color="ffffff" w:fill="4472c4" w:themeFill="accent1"/>
      </w:tcPr>
    </w:tblStylePr>
    <w:tblStylePr w:type="lastCol">
      <w:rPr>
        <w:b/>
        <w:color w:val="404040"/>
      </w:rPr>
    </w:tblStylePr>
    <w:tblStylePr w:type="lastRow">
      <w:rPr>
        <w:b/>
        <w:color w:val="404040"/>
      </w:rPr>
    </w:tblStylePr>
  </w:style>
  <w:style w:type="table" w:styleId="1450">
    <w:name w:val="List Table 3 - Accent 2"/>
    <w:basedOn w:val="1504"/>
    <w:uiPriority w:val="99"/>
    <w:pPr>
      <w:spacing w:after="0" w:line="240" w:lineRule="auto"/>
    </w:pPr>
    <w:tblPr>
      <w:tblStyleRowBandSize w:val="1"/>
      <w:tblStyleColBandSize w:val="1"/>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color w:val="404040"/>
        <w:sz w:val="22"/>
      </w:rPr>
      <w:tcPr>
        <w:tcBorders>
          <w:top w:val="single" w:color="000000" w:themeColor="accent2" w:sz="4" w:space="0"/>
          <w:bottom w:val="single" w:color="000000" w:themeColor="accent2" w:sz="4" w:space="0"/>
        </w:tcBorders>
      </w:tcPr>
    </w:tblStylePr>
    <w:tblStylePr w:type="band1Vert">
      <w:rPr>
        <w:color w:val="404040"/>
        <w:sz w:val="22"/>
      </w:rPr>
      <w:tcPr>
        <w:tcBorders>
          <w:left w:val="single" w:color="000000" w:themeColor="accent2" w:sz="4" w:space="0"/>
          <w:right w:val="single" w:color="000000" w:themeColor="accent2" w:sz="4" w:space="0"/>
        </w:tcBorders>
      </w:tcPr>
    </w:tblStylePr>
    <w:tblStylePr w:type="firstCol">
      <w:rPr>
        <w:b/>
        <w:color w:val="404040"/>
      </w:rPr>
    </w:tblStylePr>
    <w:tblStylePr w:type="firstRow">
      <w:rPr>
        <w:b/>
        <w:color w:val="ffffff"/>
        <w:sz w:val="22"/>
      </w:rPr>
      <w:tcPr>
        <w:shd w:val="clear" w:color="ffffff" w:fill="f4b185" w:themeFill="accent2" w:themeFillTint="97"/>
      </w:tcPr>
    </w:tblStylePr>
    <w:tblStylePr w:type="lastCol">
      <w:rPr>
        <w:b/>
        <w:color w:val="404040"/>
      </w:rPr>
    </w:tblStylePr>
    <w:tblStylePr w:type="lastRow">
      <w:rPr>
        <w:b/>
        <w:color w:val="404040"/>
      </w:rPr>
    </w:tblStylePr>
  </w:style>
  <w:style w:type="table" w:styleId="1451">
    <w:name w:val="List Table 3 - Accent 3"/>
    <w:basedOn w:val="1504"/>
    <w:uiPriority w:val="99"/>
    <w:pPr>
      <w:spacing w:after="0" w:line="240" w:lineRule="auto"/>
    </w:pPr>
    <w:tblPr>
      <w:tblStyleRowBandSize w:val="1"/>
      <w:tblStyleColBandSize w:val="1"/>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color w:val="404040"/>
        <w:sz w:val="22"/>
      </w:rPr>
      <w:tcPr>
        <w:tcBorders>
          <w:top w:val="single" w:color="000000" w:themeColor="accent3" w:sz="4" w:space="0"/>
          <w:bottom w:val="single" w:color="000000" w:themeColor="accent3" w:sz="4" w:space="0"/>
        </w:tcBorders>
      </w:tcPr>
    </w:tblStylePr>
    <w:tblStylePr w:type="band1Vert">
      <w:rPr>
        <w:color w:val="404040"/>
        <w:sz w:val="22"/>
      </w:rPr>
      <w:tcPr>
        <w:tcBorders>
          <w:left w:val="single" w:color="000000" w:themeColor="accent3" w:sz="4" w:space="0"/>
          <w:right w:val="single" w:color="000000" w:themeColor="accent3" w:sz="4" w:space="0"/>
        </w:tcBorders>
      </w:tcPr>
    </w:tblStylePr>
    <w:tblStylePr w:type="firstCol">
      <w:rPr>
        <w:b/>
        <w:color w:val="404040"/>
      </w:rPr>
    </w:tblStylePr>
    <w:tblStylePr w:type="firstRow">
      <w:rPr>
        <w:b/>
        <w:color w:val="ffffff"/>
        <w:sz w:val="22"/>
      </w:rPr>
      <w:tcPr>
        <w:shd w:val="clear" w:color="ffffff" w:fill="c9c9c9" w:themeFill="accent3" w:themeFillTint="98"/>
      </w:tcPr>
    </w:tblStylePr>
    <w:tblStylePr w:type="lastCol">
      <w:rPr>
        <w:b/>
        <w:color w:val="404040"/>
      </w:rPr>
    </w:tblStylePr>
    <w:tblStylePr w:type="lastRow">
      <w:rPr>
        <w:b/>
        <w:color w:val="404040"/>
      </w:rPr>
    </w:tblStylePr>
  </w:style>
  <w:style w:type="table" w:styleId="1452">
    <w:name w:val="List Table 3 - Accent 4"/>
    <w:basedOn w:val="1504"/>
    <w:uiPriority w:val="99"/>
    <w:pPr>
      <w:spacing w:after="0" w:line="240" w:lineRule="auto"/>
    </w:pPr>
    <w:tblPr>
      <w:tblStyleRowBandSize w:val="1"/>
      <w:tblStyleColBandSize w:val="1"/>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color w:val="404040"/>
        <w:sz w:val="22"/>
      </w:rPr>
      <w:tcPr>
        <w:tcBorders>
          <w:top w:val="single" w:color="000000" w:themeColor="accent4" w:sz="4" w:space="0"/>
          <w:bottom w:val="single" w:color="000000" w:themeColor="accent4" w:sz="4" w:space="0"/>
        </w:tcBorders>
      </w:tcPr>
    </w:tblStylePr>
    <w:tblStylePr w:type="band1Vert">
      <w:rPr>
        <w:color w:val="404040"/>
        <w:sz w:val="22"/>
      </w:rPr>
      <w:tcPr>
        <w:tcBorders>
          <w:left w:val="single" w:color="000000" w:themeColor="accent4" w:sz="4" w:space="0"/>
          <w:right w:val="single" w:color="000000" w:themeColor="accent4" w:sz="4" w:space="0"/>
        </w:tcBorders>
      </w:tcPr>
    </w:tblStylePr>
    <w:tblStylePr w:type="firstCol">
      <w:rPr>
        <w:b/>
        <w:color w:val="404040"/>
      </w:rPr>
    </w:tblStylePr>
    <w:tblStylePr w:type="firstRow">
      <w:rPr>
        <w:b/>
        <w:color w:val="ffffff"/>
        <w:sz w:val="22"/>
      </w:rPr>
      <w:tcPr>
        <w:shd w:val="clear" w:color="ffffff" w:fill="ffd864" w:themeFill="accent4" w:themeFillTint="9A"/>
      </w:tcPr>
    </w:tblStylePr>
    <w:tblStylePr w:type="lastCol">
      <w:rPr>
        <w:b/>
        <w:color w:val="404040"/>
      </w:rPr>
    </w:tblStylePr>
    <w:tblStylePr w:type="lastRow">
      <w:rPr>
        <w:b/>
        <w:color w:val="404040"/>
      </w:rPr>
    </w:tblStylePr>
  </w:style>
  <w:style w:type="table" w:styleId="1453">
    <w:name w:val="List Table 3 - Accent 5"/>
    <w:basedOn w:val="1504"/>
    <w:uiPriority w:val="99"/>
    <w:pPr>
      <w:spacing w:after="0" w:line="240" w:lineRule="auto"/>
    </w:pPr>
    <w:tblPr>
      <w:tblStyleRowBandSize w:val="1"/>
      <w:tblStyleColBandSize w:val="1"/>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color w:val="404040"/>
        <w:sz w:val="22"/>
      </w:rPr>
      <w:tcPr>
        <w:tcBorders>
          <w:top w:val="single" w:color="000000" w:themeColor="accent5" w:sz="4" w:space="0"/>
          <w:bottom w:val="single" w:color="000000" w:themeColor="accent5" w:sz="4" w:space="0"/>
        </w:tcBorders>
      </w:tcPr>
    </w:tblStylePr>
    <w:tblStylePr w:type="band1Vert">
      <w:rPr>
        <w:color w:val="404040"/>
        <w:sz w:val="22"/>
      </w:rPr>
      <w:tcPr>
        <w:tcBorders>
          <w:left w:val="single" w:color="000000" w:themeColor="accent5" w:sz="4" w:space="0"/>
          <w:right w:val="single" w:color="000000" w:themeColor="accent5" w:sz="4" w:space="0"/>
        </w:tcBorders>
      </w:tcPr>
    </w:tblStylePr>
    <w:tblStylePr w:type="firstCol">
      <w:rPr>
        <w:b/>
        <w:color w:val="404040"/>
      </w:rPr>
    </w:tblStylePr>
    <w:tblStylePr w:type="firstRow">
      <w:rPr>
        <w:b/>
        <w:color w:val="ffffff"/>
        <w:sz w:val="22"/>
      </w:rPr>
      <w:tcPr>
        <w:shd w:val="clear" w:color="ffffff" w:fill="9cc4e5" w:themeFill="accent5" w:themeFillTint="9A"/>
      </w:tcPr>
    </w:tblStylePr>
    <w:tblStylePr w:type="lastCol">
      <w:rPr>
        <w:b/>
        <w:color w:val="404040"/>
      </w:rPr>
    </w:tblStylePr>
    <w:tblStylePr w:type="lastRow">
      <w:rPr>
        <w:b/>
        <w:color w:val="404040"/>
      </w:rPr>
    </w:tblStylePr>
  </w:style>
  <w:style w:type="table" w:styleId="1454">
    <w:name w:val="List Table 3 - Accent 6"/>
    <w:basedOn w:val="1504"/>
    <w:uiPriority w:val="99"/>
    <w:pPr>
      <w:spacing w:after="0" w:line="240" w:lineRule="auto"/>
    </w:pPr>
    <w:tblPr>
      <w:tblStyleRowBandSize w:val="1"/>
      <w:tblStyleColBandSize w:val="1"/>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color w:val="404040"/>
        <w:sz w:val="22"/>
      </w:rPr>
      <w:tcPr>
        <w:tcBorders>
          <w:top w:val="single" w:color="000000" w:themeColor="accent6" w:sz="4" w:space="0"/>
          <w:bottom w:val="single" w:color="000000" w:themeColor="accent6" w:sz="4" w:space="0"/>
        </w:tcBorders>
      </w:tcPr>
    </w:tblStylePr>
    <w:tblStylePr w:type="band1Vert">
      <w:rPr>
        <w:color w:val="404040"/>
        <w:sz w:val="22"/>
      </w:rPr>
      <w:tcPr>
        <w:tcBorders>
          <w:left w:val="single" w:color="000000" w:themeColor="accent6" w:sz="4" w:space="0"/>
          <w:right w:val="single" w:color="000000" w:themeColor="accent6" w:sz="4" w:space="0"/>
        </w:tcBorders>
      </w:tcPr>
    </w:tblStylePr>
    <w:tblStylePr w:type="firstCol">
      <w:rPr>
        <w:b/>
        <w:color w:val="404040"/>
      </w:rPr>
    </w:tblStylePr>
    <w:tblStylePr w:type="firstRow">
      <w:rPr>
        <w:b/>
        <w:color w:val="ffffff"/>
        <w:sz w:val="22"/>
      </w:rPr>
      <w:tcPr>
        <w:shd w:val="clear" w:color="ffffff" w:fill="aad08f" w:themeFill="accent6" w:themeFillTint="98"/>
      </w:tcPr>
    </w:tblStylePr>
    <w:tblStylePr w:type="lastCol">
      <w:rPr>
        <w:b/>
        <w:color w:val="404040"/>
      </w:rPr>
    </w:tblStylePr>
    <w:tblStylePr w:type="lastRow">
      <w:rPr>
        <w:b/>
        <w:color w:val="404040"/>
      </w:rPr>
    </w:tblStylePr>
  </w:style>
  <w:style w:type="table" w:styleId="1455">
    <w:name w:val="List Table 4"/>
    <w:basedOn w:val="1504"/>
    <w:uiPriority w:val="99"/>
    <w:pPr>
      <w:spacing w:after="0" w:line="240" w:lineRule="auto"/>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color w:val="404040"/>
        <w:sz w:val="22"/>
      </w:rPr>
      <w:tcPr>
        <w:shd w:val="clear" w:color="ffffff" w:fill="bfbfbf" w:themeFill="text1" w:themeFillTint="40"/>
      </w:tcPr>
    </w:tblStylePr>
    <w:tblStylePr w:type="band1Vert">
      <w:rPr>
        <w:color w:val="404040"/>
        <w:sz w:val="22"/>
      </w:rPr>
      <w:tcPr>
        <w:shd w:val="clear" w:color="ffffff" w:fill="bfbfbf" w:themeFill="text1" w:themeFillTint="40"/>
      </w:tcPr>
    </w:tblStylePr>
    <w:tblStylePr w:type="firstCol">
      <w:rPr>
        <w:b/>
        <w:color w:val="404040"/>
      </w:rPr>
    </w:tblStylePr>
    <w:tblStylePr w:type="firstRow">
      <w:rPr>
        <w:b/>
        <w:color w:val="ffffff"/>
        <w:sz w:val="22"/>
      </w:rPr>
      <w:tcPr>
        <w:shd w:val="clear" w:color="ffffff" w:fill="000000" w:themeFill="text1"/>
      </w:tcPr>
    </w:tblStylePr>
    <w:tblStylePr w:type="lastCol">
      <w:rPr>
        <w:b/>
        <w:color w:val="404040"/>
      </w:rPr>
    </w:tblStylePr>
    <w:tblStylePr w:type="lastRow">
      <w:rPr>
        <w:b/>
        <w:color w:val="404040"/>
      </w:rPr>
    </w:tblStylePr>
  </w:style>
  <w:style w:type="table" w:styleId="1456">
    <w:name w:val="List Table 4 - Accent 1"/>
    <w:basedOn w:val="1504"/>
    <w:uiPriority w:val="99"/>
    <w:pPr>
      <w:spacing w:after="0" w:line="240" w:lineRule="auto"/>
    </w:pPr>
    <w:tblPr>
      <w:tblStyleRowBandSize w:val="1"/>
      <w:tblStyleColBandSize w:val="1"/>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color w:val="404040"/>
        <w:sz w:val="22"/>
      </w:rPr>
      <w:tcPr>
        <w:shd w:val="clear" w:color="ffffff" w:fill="cfdcf0" w:themeFill="accent1" w:themeFillTint="40"/>
      </w:tcPr>
    </w:tblStylePr>
    <w:tblStylePr w:type="band1Vert">
      <w:rPr>
        <w:color w:val="404040"/>
        <w:sz w:val="22"/>
      </w:rPr>
      <w:tcPr>
        <w:shd w:val="clear" w:color="ffffff" w:fill="cfdcf0" w:themeFill="accent1" w:themeFillTint="40"/>
      </w:tcPr>
    </w:tblStylePr>
    <w:tblStylePr w:type="firstCol">
      <w:rPr>
        <w:b/>
        <w:color w:val="404040"/>
      </w:rPr>
    </w:tblStylePr>
    <w:tblStylePr w:type="firstRow">
      <w:rPr>
        <w:b/>
        <w:color w:val="ffffff"/>
        <w:sz w:val="22"/>
      </w:rPr>
      <w:tcPr>
        <w:shd w:val="clear" w:color="ffffff" w:fill="4472c4" w:themeFill="accent1"/>
      </w:tcPr>
    </w:tblStylePr>
    <w:tblStylePr w:type="lastCol">
      <w:rPr>
        <w:b/>
        <w:color w:val="404040"/>
      </w:rPr>
    </w:tblStylePr>
    <w:tblStylePr w:type="lastRow">
      <w:rPr>
        <w:b/>
        <w:color w:val="404040"/>
      </w:rPr>
    </w:tblStylePr>
  </w:style>
  <w:style w:type="table" w:styleId="1457">
    <w:name w:val="List Table 4 - Accent 2"/>
    <w:basedOn w:val="1504"/>
    <w:uiPriority w:val="99"/>
    <w:pPr>
      <w:spacing w:after="0" w:line="240" w:lineRule="auto"/>
    </w:pPr>
    <w:tblPr>
      <w:tblStyleRowBandSize w:val="1"/>
      <w:tblStyleColBandSize w:val="1"/>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color w:val="404040"/>
        <w:sz w:val="22"/>
      </w:rPr>
      <w:tcPr>
        <w:shd w:val="clear" w:color="ffffff" w:fill="fadecb" w:themeFill="accent2" w:themeFillTint="40"/>
      </w:tcPr>
    </w:tblStylePr>
    <w:tblStylePr w:type="band1Vert">
      <w:rPr>
        <w:color w:val="404040"/>
        <w:sz w:val="22"/>
      </w:rPr>
      <w:tcPr>
        <w:shd w:val="clear" w:color="ffffff" w:fill="fadecb" w:themeFill="accent2" w:themeFillTint="40"/>
      </w:tcPr>
    </w:tblStylePr>
    <w:tblStylePr w:type="firstCol">
      <w:rPr>
        <w:b/>
        <w:color w:val="404040"/>
      </w:rPr>
    </w:tblStylePr>
    <w:tblStylePr w:type="firstRow">
      <w:rPr>
        <w:b/>
        <w:color w:val="ffffff"/>
        <w:sz w:val="22"/>
      </w:rPr>
      <w:tcPr>
        <w:shd w:val="clear" w:color="ffffff" w:fill="ed7d31" w:themeFill="accent2"/>
      </w:tcPr>
    </w:tblStylePr>
    <w:tblStylePr w:type="lastCol">
      <w:rPr>
        <w:b/>
        <w:color w:val="404040"/>
      </w:rPr>
    </w:tblStylePr>
    <w:tblStylePr w:type="lastRow">
      <w:rPr>
        <w:b/>
        <w:color w:val="404040"/>
      </w:rPr>
    </w:tblStylePr>
  </w:style>
  <w:style w:type="table" w:styleId="1458">
    <w:name w:val="List Table 4 - Accent 3"/>
    <w:basedOn w:val="1504"/>
    <w:uiPriority w:val="99"/>
    <w:pPr>
      <w:spacing w:after="0" w:line="240" w:lineRule="auto"/>
    </w:pPr>
    <w:tblPr>
      <w:tblStyleRowBandSize w:val="1"/>
      <w:tblStyleColBandSize w:val="1"/>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color w:val="404040"/>
        <w:sz w:val="22"/>
      </w:rPr>
      <w:tcPr>
        <w:shd w:val="clear" w:color="ffffff" w:fill="e8e8e8" w:themeFill="accent3" w:themeFillTint="40"/>
      </w:tcPr>
    </w:tblStylePr>
    <w:tblStylePr w:type="band1Vert">
      <w:rPr>
        <w:color w:val="404040"/>
        <w:sz w:val="22"/>
      </w:rPr>
      <w:tcPr>
        <w:shd w:val="clear" w:color="ffffff" w:fill="e8e8e8" w:themeFill="accent3" w:themeFillTint="40"/>
      </w:tcPr>
    </w:tblStylePr>
    <w:tblStylePr w:type="firstCol">
      <w:rPr>
        <w:b/>
        <w:color w:val="404040"/>
      </w:rPr>
    </w:tblStylePr>
    <w:tblStylePr w:type="firstRow">
      <w:rPr>
        <w:b/>
        <w:color w:val="ffffff"/>
        <w:sz w:val="22"/>
      </w:rPr>
      <w:tcPr>
        <w:shd w:val="clear" w:color="ffffff" w:fill="a5a5a5" w:themeFill="accent3"/>
      </w:tcPr>
    </w:tblStylePr>
    <w:tblStylePr w:type="lastCol">
      <w:rPr>
        <w:b/>
        <w:color w:val="404040"/>
      </w:rPr>
    </w:tblStylePr>
    <w:tblStylePr w:type="lastRow">
      <w:rPr>
        <w:b/>
        <w:color w:val="404040"/>
      </w:rPr>
    </w:tblStylePr>
  </w:style>
  <w:style w:type="table" w:styleId="1459">
    <w:name w:val="List Table 4 - Accent 4"/>
    <w:basedOn w:val="1504"/>
    <w:uiPriority w:val="99"/>
    <w:pPr>
      <w:spacing w:after="0" w:line="240" w:lineRule="auto"/>
    </w:pPr>
    <w:tblPr>
      <w:tblStyleRowBandSize w:val="1"/>
      <w:tblStyleColBandSize w:val="1"/>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color w:val="404040"/>
        <w:sz w:val="22"/>
      </w:rPr>
      <w:tcPr>
        <w:shd w:val="clear" w:color="ffffff" w:fill="ffefbf" w:themeFill="accent4" w:themeFillTint="40"/>
      </w:tcPr>
    </w:tblStylePr>
    <w:tblStylePr w:type="band1Vert">
      <w:rPr>
        <w:color w:val="404040"/>
        <w:sz w:val="22"/>
      </w:rPr>
      <w:tcPr>
        <w:shd w:val="clear" w:color="ffffff" w:fill="ffefbf" w:themeFill="accent4" w:themeFillTint="40"/>
      </w:tcPr>
    </w:tblStylePr>
    <w:tblStylePr w:type="firstCol">
      <w:rPr>
        <w:b/>
        <w:color w:val="404040"/>
      </w:rPr>
    </w:tblStylePr>
    <w:tblStylePr w:type="firstRow">
      <w:rPr>
        <w:b/>
        <w:color w:val="ffffff"/>
        <w:sz w:val="22"/>
      </w:rPr>
      <w:tcPr>
        <w:shd w:val="clear" w:color="ffffff" w:fill="ffc000" w:themeFill="accent4"/>
      </w:tcPr>
    </w:tblStylePr>
    <w:tblStylePr w:type="lastCol">
      <w:rPr>
        <w:b/>
        <w:color w:val="404040"/>
      </w:rPr>
    </w:tblStylePr>
    <w:tblStylePr w:type="lastRow">
      <w:rPr>
        <w:b/>
        <w:color w:val="404040"/>
      </w:rPr>
    </w:tblStylePr>
  </w:style>
  <w:style w:type="table" w:styleId="1460">
    <w:name w:val="List Table 4 - Accent 5"/>
    <w:basedOn w:val="1504"/>
    <w:uiPriority w:val="99"/>
    <w:pPr>
      <w:spacing w:after="0" w:line="240" w:lineRule="auto"/>
    </w:pPr>
    <w:tblPr>
      <w:tblStyleRowBandSize w:val="1"/>
      <w:tblStyleColBandSize w:val="1"/>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color w:val="404040"/>
        <w:sz w:val="22"/>
      </w:rPr>
      <w:tcPr>
        <w:shd w:val="clear" w:color="ffffff" w:fill="d5e6f4" w:themeFill="accent5" w:themeFillTint="40"/>
      </w:tcPr>
    </w:tblStylePr>
    <w:tblStylePr w:type="band1Vert">
      <w:rPr>
        <w:color w:val="404040"/>
        <w:sz w:val="22"/>
      </w:rPr>
      <w:tcPr>
        <w:shd w:val="clear" w:color="ffffff" w:fill="d5e6f4" w:themeFill="accent5" w:themeFillTint="40"/>
      </w:tcPr>
    </w:tblStylePr>
    <w:tblStylePr w:type="firstCol">
      <w:rPr>
        <w:b/>
        <w:color w:val="404040"/>
      </w:rPr>
    </w:tblStylePr>
    <w:tblStylePr w:type="firstRow">
      <w:rPr>
        <w:b/>
        <w:color w:val="ffffff"/>
        <w:sz w:val="22"/>
      </w:rPr>
      <w:tcPr>
        <w:shd w:val="clear" w:color="ffffff" w:fill="5b9bd5" w:themeFill="accent5"/>
      </w:tcPr>
    </w:tblStylePr>
    <w:tblStylePr w:type="lastCol">
      <w:rPr>
        <w:b/>
        <w:color w:val="404040"/>
      </w:rPr>
    </w:tblStylePr>
    <w:tblStylePr w:type="lastRow">
      <w:rPr>
        <w:b/>
        <w:color w:val="404040"/>
      </w:rPr>
    </w:tblStylePr>
  </w:style>
  <w:style w:type="table" w:styleId="1461">
    <w:name w:val="List Table 4 - Accent 6"/>
    <w:basedOn w:val="1504"/>
    <w:uiPriority w:val="99"/>
    <w:pPr>
      <w:spacing w:after="0" w:line="240" w:lineRule="auto"/>
    </w:pPr>
    <w:tblPr>
      <w:tblStyleRowBandSize w:val="1"/>
      <w:tblStyleColBandSize w:val="1"/>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color w:val="404040"/>
        <w:sz w:val="22"/>
      </w:rPr>
      <w:tcPr>
        <w:shd w:val="clear" w:color="ffffff" w:fill="dbebd0" w:themeFill="accent6" w:themeFillTint="40"/>
      </w:tcPr>
    </w:tblStylePr>
    <w:tblStylePr w:type="band1Vert">
      <w:rPr>
        <w:color w:val="404040"/>
        <w:sz w:val="22"/>
      </w:rPr>
      <w:tcPr>
        <w:shd w:val="clear" w:color="ffffff" w:fill="dbebd0" w:themeFill="accent6" w:themeFillTint="40"/>
      </w:tcPr>
    </w:tblStylePr>
    <w:tblStylePr w:type="firstCol">
      <w:rPr>
        <w:b/>
        <w:color w:val="404040"/>
      </w:rPr>
    </w:tblStylePr>
    <w:tblStylePr w:type="firstRow">
      <w:rPr>
        <w:b/>
        <w:color w:val="ffffff"/>
        <w:sz w:val="22"/>
      </w:rPr>
      <w:tcPr>
        <w:shd w:val="clear" w:color="ffffff" w:fill="70ad47" w:themeFill="accent6"/>
      </w:tcPr>
    </w:tblStylePr>
    <w:tblStylePr w:type="lastCol">
      <w:rPr>
        <w:b/>
        <w:color w:val="404040"/>
      </w:rPr>
    </w:tblStylePr>
    <w:tblStylePr w:type="lastRow">
      <w:rPr>
        <w:b/>
        <w:color w:val="404040"/>
      </w:rPr>
    </w:tblStylePr>
  </w:style>
  <w:style w:type="table" w:styleId="1462">
    <w:name w:val="List Table 5 Dark"/>
    <w:basedOn w:val="1504"/>
    <w:uiPriority w:val="99"/>
    <w:pPr>
      <w:spacing w:after="0" w:line="240" w:lineRule="auto"/>
    </w:pPr>
    <w:tblPr>
      <w:tblStyleRowBandSize w:val="1"/>
      <w:tblStyleColBandSize w:val="1"/>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tblPr>
    <w:tblStylePr w:type="band1Horz">
      <w:tcPr>
        <w:shd w:val="clear" w:color="ffffff" w:fill="7f7f7f" w:themeFill="text1" w:themeFillTint="80"/>
        <w:tcBorders>
          <w:top w:val="single" w:color="000000" w:themeColor="light1" w:sz="4" w:space="0"/>
          <w:bottom w:val="single" w:color="000000" w:themeColor="light1" w:sz="4" w:space="0"/>
        </w:tcBorders>
      </w:tcPr>
    </w:tblStylePr>
    <w:tblStylePr w:type="band1Vert">
      <w:tcPr>
        <w:shd w:val="clear" w:color="ffffff" w:fill="7f7f7f" w:themeFill="text1" w:themeFillTint="80"/>
        <w:tcBorders>
          <w:left w:val="single" w:color="000000" w:themeColor="light1" w:sz="4" w:space="0"/>
          <w:right w:val="single" w:color="000000" w:themeColor="light1" w:sz="4" w:space="0"/>
        </w:tcBorders>
      </w:tcPr>
    </w:tblStylePr>
    <w:tblStylePr w:type="band2Horz">
      <w:tcPr>
        <w:shd w:val="clear" w:color="ffffff"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b/>
        <w:color w:val="ffffff" w:themeColor="light1"/>
        <w:sz w:val="22"/>
      </w:rPr>
      <w:tcPr>
        <w:tcBorders>
          <w:left w:val="single" w:color="000000" w:themeColor="text1" w:sz="32" w:space="0"/>
          <w:right w:val="single" w:color="000000" w:themeColor="light1" w:sz="4" w:space="0"/>
        </w:tcBorders>
      </w:tcPr>
    </w:tblStylePr>
    <w:tblStylePr w:type="firstRow">
      <w:rPr>
        <w:b/>
        <w:color w:val="ffffff" w:themeColor="light1"/>
        <w:sz w:val="22"/>
      </w:rPr>
      <w:tcPr>
        <w:shd w:val="clear" w:color="ffffff" w:fill="7f7f7f" w:themeFill="text1" w:themeFillTint="80"/>
        <w:tcBorders>
          <w:top w:val="single" w:color="000000" w:themeColor="text1" w:sz="32" w:space="0"/>
          <w:bottom w:val="single" w:color="000000" w:themeColor="light1" w:sz="12" w:space="0"/>
        </w:tcBorders>
      </w:tcPr>
    </w:tblStylePr>
    <w:tblStylePr w:type="lastCol">
      <w:tcPr>
        <w:tcBorders>
          <w:left w:val="single" w:color="000000" w:themeColor="light1" w:sz="4" w:space="0"/>
          <w:right w:val="single" w:color="000000" w:themeColor="text1" w:sz="32" w:space="0"/>
        </w:tcBorders>
      </w:tcPr>
    </w:tblStylePr>
    <w:tblStylePr w:type="lastRow">
      <w:rPr>
        <w:b/>
        <w:color w:val="ffffff" w:themeColor="light1"/>
        <w:sz w:val="22"/>
      </w:rPr>
    </w:tblStylePr>
    <w:tblStylePr w:type="wholeTable">
      <w:rPr>
        <w:color w:val="ffffff" w:themeColor="light1"/>
        <w:sz w:val="22"/>
      </w:rPr>
    </w:tblStylePr>
  </w:style>
  <w:style w:type="table" w:styleId="1463">
    <w:name w:val="List Table 5 Dark - Accent 1"/>
    <w:basedOn w:val="1504"/>
    <w:uiPriority w:val="99"/>
    <w:pPr>
      <w:spacing w:after="0" w:line="240" w:lineRule="auto"/>
    </w:pPr>
    <w:tblPr>
      <w:tblStyleRowBandSize w:val="1"/>
      <w:tblStyleColBandSize w:val="1"/>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tblPr>
    <w:tblStylePr w:type="band1Horz">
      <w:tcPr>
        <w:shd w:val="clear" w:color="ffffff" w:fill="4472c4" w:themeFill="accent1"/>
        <w:tcBorders>
          <w:top w:val="single" w:color="000000" w:themeColor="light1" w:sz="4" w:space="0"/>
          <w:bottom w:val="single" w:color="000000" w:themeColor="light1" w:sz="4" w:space="0"/>
        </w:tcBorders>
      </w:tcPr>
    </w:tblStylePr>
    <w:tblStylePr w:type="band1Vert">
      <w:tcPr>
        <w:shd w:val="clear" w:color="ffffff" w:fill="4472c4" w:themeFill="accent1"/>
        <w:tcBorders>
          <w:left w:val="single" w:color="000000" w:themeColor="light1" w:sz="4" w:space="0"/>
          <w:right w:val="single" w:color="000000" w:themeColor="light1" w:sz="4" w:space="0"/>
        </w:tcBorders>
      </w:tcPr>
    </w:tblStylePr>
    <w:tblStylePr w:type="band2Horz">
      <w:tcPr>
        <w:shd w:val="clear" w:color="ffffff" w:fill="4472c4"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b/>
        <w:color w:val="ffffff" w:themeColor="light1"/>
        <w:sz w:val="22"/>
      </w:rPr>
      <w:tcPr>
        <w:tcBorders>
          <w:left w:val="single" w:color="000000" w:themeColor="accent1" w:sz="32" w:space="0"/>
          <w:right w:val="single" w:color="000000" w:themeColor="light1" w:sz="4" w:space="0"/>
        </w:tcBorders>
      </w:tcPr>
    </w:tblStylePr>
    <w:tblStylePr w:type="firstRow">
      <w:rPr>
        <w:b/>
        <w:color w:val="ffffff" w:themeColor="light1"/>
        <w:sz w:val="22"/>
      </w:rPr>
      <w:tcPr>
        <w:shd w:val="clear" w:color="ffffff" w:fill="4472c4"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b/>
        <w:color w:val="ffffff" w:themeColor="light1"/>
        <w:sz w:val="22"/>
      </w:rPr>
    </w:tblStylePr>
    <w:tblStylePr w:type="wholeTable">
      <w:rPr>
        <w:color w:val="ffffff" w:themeColor="light1"/>
        <w:sz w:val="22"/>
      </w:rPr>
    </w:tblStylePr>
  </w:style>
  <w:style w:type="table" w:styleId="1464">
    <w:name w:val="List Table 5 Dark - Accent 2"/>
    <w:basedOn w:val="1504"/>
    <w:uiPriority w:val="99"/>
    <w:pPr>
      <w:spacing w:after="0" w:line="240" w:lineRule="auto"/>
    </w:pPr>
    <w:tblPr>
      <w:tblStyleRowBandSize w:val="1"/>
      <w:tblStyleColBandSize w:val="1"/>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tblPr>
    <w:tblStylePr w:type="band1Horz">
      <w:tcPr>
        <w:shd w:val="clear" w:color="ffffff" w:fill="f4b185" w:themeFill="accent2" w:themeFillTint="97"/>
        <w:tcBorders>
          <w:top w:val="single" w:color="000000" w:themeColor="light1" w:sz="4" w:space="0"/>
          <w:bottom w:val="single" w:color="000000" w:themeColor="light1" w:sz="4" w:space="0"/>
        </w:tcBorders>
      </w:tcPr>
    </w:tblStylePr>
    <w:tblStylePr w:type="band1Vert">
      <w:tcPr>
        <w:shd w:val="clear" w:color="ffffff" w:fill="f4b185" w:themeFill="accent2" w:themeFillTint="97"/>
        <w:tcBorders>
          <w:left w:val="single" w:color="000000" w:themeColor="light1" w:sz="4" w:space="0"/>
          <w:right w:val="single" w:color="000000" w:themeColor="light1" w:sz="4" w:space="0"/>
        </w:tcBorders>
      </w:tcPr>
    </w:tblStylePr>
    <w:tblStylePr w:type="band2Horz">
      <w:tcPr>
        <w:shd w:val="clear" w:color="ffffff" w:fill="f4b185"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b/>
        <w:color w:val="ffffff" w:themeColor="light1"/>
        <w:sz w:val="22"/>
      </w:rPr>
      <w:tcPr>
        <w:tcBorders>
          <w:left w:val="single" w:color="000000" w:themeColor="accent2" w:sz="32" w:space="0"/>
          <w:right w:val="single" w:color="000000" w:themeColor="light1" w:sz="4" w:space="0"/>
        </w:tcBorders>
      </w:tcPr>
    </w:tblStylePr>
    <w:tblStylePr w:type="firstRow">
      <w:rPr>
        <w:b/>
        <w:color w:val="ffffff" w:themeColor="light1"/>
        <w:sz w:val="22"/>
      </w:rPr>
      <w:tcPr>
        <w:shd w:val="clear" w:color="ffffff" w:fill="f4b185" w:themeFill="accent2" w:themeFillTint="97"/>
        <w:tcBorders>
          <w:top w:val="single" w:color="000000" w:themeColor="accent2" w:sz="32" w:space="0"/>
          <w:bottom w:val="single" w:color="000000" w:themeColor="light1" w:sz="12" w:space="0"/>
        </w:tcBorders>
      </w:tcPr>
    </w:tblStylePr>
    <w:tblStylePr w:type="lastCol">
      <w:tcPr>
        <w:tcBorders>
          <w:left w:val="single" w:color="000000" w:themeColor="light1" w:sz="4" w:space="0"/>
          <w:right w:val="single" w:color="000000" w:themeColor="accent2" w:sz="32" w:space="0"/>
        </w:tcBorders>
      </w:tcPr>
    </w:tblStylePr>
    <w:tblStylePr w:type="lastRow">
      <w:rPr>
        <w:b/>
        <w:color w:val="ffffff" w:themeColor="light1"/>
        <w:sz w:val="22"/>
      </w:rPr>
    </w:tblStylePr>
    <w:tblStylePr w:type="wholeTable">
      <w:rPr>
        <w:color w:val="ffffff" w:themeColor="light1"/>
        <w:sz w:val="22"/>
      </w:rPr>
    </w:tblStylePr>
  </w:style>
  <w:style w:type="table" w:styleId="1465">
    <w:name w:val="List Table 5 Dark - Accent 3"/>
    <w:basedOn w:val="1504"/>
    <w:uiPriority w:val="99"/>
    <w:pPr>
      <w:spacing w:after="0" w:line="240" w:lineRule="auto"/>
    </w:pPr>
    <w:tblPr>
      <w:tblStyleRowBandSize w:val="1"/>
      <w:tblStyleColBandSize w:val="1"/>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tblPr>
    <w:tblStylePr w:type="band1Horz">
      <w:tcPr>
        <w:shd w:val="clear" w:color="ffffff" w:fill="c9c9c9" w:themeFill="accent3" w:themeFillTint="98"/>
        <w:tcBorders>
          <w:top w:val="single" w:color="000000" w:themeColor="light1" w:sz="4" w:space="0"/>
          <w:bottom w:val="single" w:color="000000" w:themeColor="light1" w:sz="4" w:space="0"/>
        </w:tcBorders>
      </w:tcPr>
    </w:tblStylePr>
    <w:tblStylePr w:type="band1Vert">
      <w:tcPr>
        <w:shd w:val="clear" w:color="ffffff" w:fill="c9c9c9" w:themeFill="accent3" w:themeFillTint="98"/>
        <w:tcBorders>
          <w:left w:val="single" w:color="000000" w:themeColor="light1" w:sz="4" w:space="0"/>
          <w:right w:val="single" w:color="000000" w:themeColor="light1" w:sz="4" w:space="0"/>
        </w:tcBorders>
      </w:tcPr>
    </w:tblStylePr>
    <w:tblStylePr w:type="band2Horz">
      <w:tcPr>
        <w:shd w:val="clear" w:color="ffffff" w:fill="c9c9c9"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b/>
        <w:color w:val="ffffff" w:themeColor="light1"/>
        <w:sz w:val="22"/>
      </w:rPr>
      <w:tcPr>
        <w:tcBorders>
          <w:left w:val="single" w:color="000000" w:themeColor="accent3" w:sz="32" w:space="0"/>
          <w:right w:val="single" w:color="000000" w:themeColor="light1" w:sz="4" w:space="0"/>
        </w:tcBorders>
      </w:tcPr>
    </w:tblStylePr>
    <w:tblStylePr w:type="firstRow">
      <w:rPr>
        <w:b/>
        <w:color w:val="ffffff" w:themeColor="light1"/>
        <w:sz w:val="22"/>
      </w:rPr>
      <w:tcPr>
        <w:shd w:val="clear" w:color="ffffff" w:fill="c9c9c9" w:themeFill="accent3" w:themeFillTint="98"/>
        <w:tcBorders>
          <w:top w:val="single" w:color="000000" w:themeColor="accent3" w:sz="32" w:space="0"/>
          <w:bottom w:val="single" w:color="000000" w:themeColor="light1" w:sz="12" w:space="0"/>
        </w:tcBorders>
      </w:tcPr>
    </w:tblStylePr>
    <w:tblStylePr w:type="lastCol">
      <w:tcPr>
        <w:tcBorders>
          <w:left w:val="single" w:color="000000" w:themeColor="light1" w:sz="4" w:space="0"/>
          <w:right w:val="single" w:color="000000" w:themeColor="accent3" w:sz="32" w:space="0"/>
        </w:tcBorders>
      </w:tcPr>
    </w:tblStylePr>
    <w:tblStylePr w:type="lastRow">
      <w:rPr>
        <w:b/>
        <w:color w:val="ffffff" w:themeColor="light1"/>
        <w:sz w:val="22"/>
      </w:rPr>
    </w:tblStylePr>
    <w:tblStylePr w:type="wholeTable">
      <w:rPr>
        <w:color w:val="ffffff" w:themeColor="light1"/>
        <w:sz w:val="22"/>
      </w:rPr>
    </w:tblStylePr>
  </w:style>
  <w:style w:type="table" w:styleId="1466">
    <w:name w:val="List Table 5 Dark - Accent 4"/>
    <w:basedOn w:val="1504"/>
    <w:uiPriority w:val="99"/>
    <w:pPr>
      <w:spacing w:after="0" w:line="240" w:lineRule="auto"/>
    </w:pPr>
    <w:tblPr>
      <w:tblStyleRowBandSize w:val="1"/>
      <w:tblStyleColBandSize w:val="1"/>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tblPr>
    <w:tblStylePr w:type="band1Horz">
      <w:tcPr>
        <w:shd w:val="clear" w:color="ffffff" w:fill="ffd864" w:themeFill="accent4" w:themeFillTint="9A"/>
        <w:tcBorders>
          <w:top w:val="single" w:color="000000" w:themeColor="light1" w:sz="4" w:space="0"/>
          <w:bottom w:val="single" w:color="000000" w:themeColor="light1" w:sz="4" w:space="0"/>
        </w:tcBorders>
      </w:tcPr>
    </w:tblStylePr>
    <w:tblStylePr w:type="band1Vert">
      <w:tcPr>
        <w:shd w:val="clear" w:color="ffffff" w:fill="ffd864" w:themeFill="accent4" w:themeFillTint="9A"/>
        <w:tcBorders>
          <w:left w:val="single" w:color="000000" w:themeColor="light1" w:sz="4" w:space="0"/>
          <w:right w:val="single" w:color="000000" w:themeColor="light1" w:sz="4" w:space="0"/>
        </w:tcBorders>
      </w:tcPr>
    </w:tblStylePr>
    <w:tblStylePr w:type="band2Horz">
      <w:tcPr>
        <w:shd w:val="clear" w:color="ffffff" w:fill="ffd864"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b/>
        <w:color w:val="ffffff" w:themeColor="light1"/>
        <w:sz w:val="22"/>
      </w:rPr>
      <w:tcPr>
        <w:tcBorders>
          <w:left w:val="single" w:color="000000" w:themeColor="accent4" w:sz="32" w:space="0"/>
          <w:right w:val="single" w:color="000000" w:themeColor="light1" w:sz="4" w:space="0"/>
        </w:tcBorders>
      </w:tcPr>
    </w:tblStylePr>
    <w:tblStylePr w:type="firstRow">
      <w:rPr>
        <w:b/>
        <w:color w:val="ffffff" w:themeColor="light1"/>
        <w:sz w:val="22"/>
      </w:rPr>
      <w:tcPr>
        <w:shd w:val="clear" w:color="ffffff" w:fill="ffd864" w:themeFill="accent4" w:themeFillTint="9A"/>
        <w:tcBorders>
          <w:top w:val="single" w:color="000000" w:themeColor="accent4" w:sz="32" w:space="0"/>
          <w:bottom w:val="single" w:color="000000" w:themeColor="light1" w:sz="12" w:space="0"/>
        </w:tcBorders>
      </w:tcPr>
    </w:tblStylePr>
    <w:tblStylePr w:type="lastCol">
      <w:tcPr>
        <w:tcBorders>
          <w:left w:val="single" w:color="000000" w:themeColor="light1" w:sz="4" w:space="0"/>
          <w:right w:val="single" w:color="000000" w:themeColor="accent4" w:sz="32" w:space="0"/>
        </w:tcBorders>
      </w:tcPr>
    </w:tblStylePr>
    <w:tblStylePr w:type="lastRow">
      <w:rPr>
        <w:b/>
        <w:color w:val="ffffff" w:themeColor="light1"/>
        <w:sz w:val="22"/>
      </w:rPr>
    </w:tblStylePr>
    <w:tblStylePr w:type="wholeTable">
      <w:rPr>
        <w:color w:val="ffffff" w:themeColor="light1"/>
        <w:sz w:val="22"/>
      </w:rPr>
    </w:tblStylePr>
  </w:style>
  <w:style w:type="table" w:styleId="1467">
    <w:name w:val="List Table 5 Dark - Accent 5"/>
    <w:basedOn w:val="1504"/>
    <w:uiPriority w:val="99"/>
    <w:pPr>
      <w:spacing w:after="0" w:line="240" w:lineRule="auto"/>
    </w:pPr>
    <w:tblPr>
      <w:tblStyleRowBandSize w:val="1"/>
      <w:tblStyleColBandSize w:val="1"/>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tblPr>
    <w:tblStylePr w:type="band1Horz">
      <w:tcPr>
        <w:shd w:val="clear" w:color="ffffff" w:fill="9cc4e5" w:themeFill="accent5" w:themeFillTint="9A"/>
        <w:tcBorders>
          <w:top w:val="single" w:color="000000" w:themeColor="light1" w:sz="4" w:space="0"/>
          <w:bottom w:val="single" w:color="000000" w:themeColor="light1" w:sz="4" w:space="0"/>
        </w:tcBorders>
      </w:tcPr>
    </w:tblStylePr>
    <w:tblStylePr w:type="band1Vert">
      <w:tcPr>
        <w:shd w:val="clear" w:color="ffffff" w:fill="9cc4e5" w:themeFill="accent5" w:themeFillTint="9A"/>
        <w:tcBorders>
          <w:left w:val="single" w:color="000000" w:themeColor="light1" w:sz="4" w:space="0"/>
          <w:right w:val="single" w:color="000000" w:themeColor="light1" w:sz="4" w:space="0"/>
        </w:tcBorders>
      </w:tcPr>
    </w:tblStylePr>
    <w:tblStylePr w:type="band2Horz">
      <w:tcPr>
        <w:shd w:val="clear" w:color="ffffff" w:fill="9cc4e5"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b/>
        <w:color w:val="ffffff" w:themeColor="light1"/>
        <w:sz w:val="22"/>
      </w:rPr>
      <w:tcPr>
        <w:tcBorders>
          <w:left w:val="single" w:color="000000" w:themeColor="accent5" w:sz="32" w:space="0"/>
          <w:right w:val="single" w:color="000000" w:themeColor="light1" w:sz="4" w:space="0"/>
        </w:tcBorders>
      </w:tcPr>
    </w:tblStylePr>
    <w:tblStylePr w:type="firstRow">
      <w:rPr>
        <w:b/>
        <w:color w:val="ffffff" w:themeColor="light1"/>
        <w:sz w:val="22"/>
      </w:rPr>
      <w:tcPr>
        <w:shd w:val="clear" w:color="ffffff" w:fill="9cc4e5" w:themeFill="accent5" w:themeFillTint="9A"/>
        <w:tcBorders>
          <w:top w:val="single" w:color="000000" w:themeColor="accent5" w:sz="32" w:space="0"/>
          <w:bottom w:val="single" w:color="000000" w:themeColor="light1" w:sz="12" w:space="0"/>
        </w:tcBorders>
      </w:tcPr>
    </w:tblStylePr>
    <w:tblStylePr w:type="lastCol">
      <w:tcPr>
        <w:tcBorders>
          <w:left w:val="single" w:color="000000" w:themeColor="light1" w:sz="4" w:space="0"/>
          <w:right w:val="single" w:color="000000" w:themeColor="accent5" w:sz="32" w:space="0"/>
        </w:tcBorders>
      </w:tcPr>
    </w:tblStylePr>
    <w:tblStylePr w:type="lastRow">
      <w:rPr>
        <w:b/>
        <w:color w:val="ffffff" w:themeColor="light1"/>
        <w:sz w:val="22"/>
      </w:rPr>
    </w:tblStylePr>
    <w:tblStylePr w:type="wholeTable">
      <w:rPr>
        <w:color w:val="ffffff" w:themeColor="light1"/>
        <w:sz w:val="22"/>
      </w:rPr>
    </w:tblStylePr>
  </w:style>
  <w:style w:type="table" w:styleId="1468">
    <w:name w:val="List Table 5 Dark - Accent 6"/>
    <w:basedOn w:val="1504"/>
    <w:uiPriority w:val="99"/>
    <w:pPr>
      <w:spacing w:after="0" w:line="240" w:lineRule="auto"/>
    </w:pPr>
    <w:tblPr>
      <w:tblStyleRowBandSize w:val="1"/>
      <w:tblStyleColBandSize w:val="1"/>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tblPr>
    <w:tblStylePr w:type="band1Horz">
      <w:tcPr>
        <w:shd w:val="clear" w:color="ffffff" w:fill="aad08f" w:themeFill="accent6" w:themeFillTint="98"/>
        <w:tcBorders>
          <w:top w:val="single" w:color="000000" w:themeColor="light1" w:sz="4" w:space="0"/>
          <w:bottom w:val="single" w:color="000000" w:themeColor="light1" w:sz="4" w:space="0"/>
        </w:tcBorders>
      </w:tcPr>
    </w:tblStylePr>
    <w:tblStylePr w:type="band1Vert">
      <w:tcPr>
        <w:shd w:val="clear" w:color="ffffff" w:fill="aad08f" w:themeFill="accent6" w:themeFillTint="98"/>
        <w:tcBorders>
          <w:left w:val="single" w:color="000000" w:themeColor="light1" w:sz="4" w:space="0"/>
          <w:right w:val="single" w:color="000000" w:themeColor="light1" w:sz="4" w:space="0"/>
        </w:tcBorders>
      </w:tcPr>
    </w:tblStylePr>
    <w:tblStylePr w:type="band2Horz">
      <w:tcPr>
        <w:shd w:val="clear" w:color="ffffff" w:fill="aad08f"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b/>
        <w:color w:val="ffffff" w:themeColor="light1"/>
        <w:sz w:val="22"/>
      </w:rPr>
      <w:tcPr>
        <w:tcBorders>
          <w:left w:val="single" w:color="000000" w:themeColor="accent6" w:sz="32" w:space="0"/>
          <w:right w:val="single" w:color="000000" w:themeColor="light1" w:sz="4" w:space="0"/>
        </w:tcBorders>
      </w:tcPr>
    </w:tblStylePr>
    <w:tblStylePr w:type="firstRow">
      <w:rPr>
        <w:b/>
        <w:color w:val="ffffff" w:themeColor="light1"/>
        <w:sz w:val="22"/>
      </w:rPr>
      <w:tcPr>
        <w:shd w:val="clear" w:color="ffffff" w:fill="aad08f" w:themeFill="accent6" w:themeFillTint="98"/>
        <w:tcBorders>
          <w:top w:val="single" w:color="000000" w:themeColor="accent6" w:sz="32" w:space="0"/>
          <w:bottom w:val="single" w:color="000000" w:themeColor="light1" w:sz="12" w:space="0"/>
        </w:tcBorders>
      </w:tcPr>
    </w:tblStylePr>
    <w:tblStylePr w:type="lastCol">
      <w:tcPr>
        <w:tcBorders>
          <w:left w:val="single" w:color="000000" w:themeColor="light1" w:sz="4" w:space="0"/>
          <w:right w:val="single" w:color="000000" w:themeColor="accent6" w:sz="32" w:space="0"/>
        </w:tcBorders>
      </w:tcPr>
    </w:tblStylePr>
    <w:tblStylePr w:type="lastRow">
      <w:rPr>
        <w:b/>
        <w:color w:val="ffffff" w:themeColor="light1"/>
        <w:sz w:val="22"/>
      </w:rPr>
    </w:tblStylePr>
    <w:tblStylePr w:type="wholeTable">
      <w:rPr>
        <w:color w:val="ffffff" w:themeColor="light1"/>
        <w:sz w:val="22"/>
      </w:rPr>
    </w:tblStylePr>
  </w:style>
  <w:style w:type="table" w:styleId="1469">
    <w:name w:val="List Table 6 Colorful"/>
    <w:basedOn w:val="1504"/>
    <w:uiPriority w:val="99"/>
    <w:pPr>
      <w:spacing w:after="0" w:line="240" w:lineRule="auto"/>
    </w:pPr>
    <w:tblPr>
      <w:tblStyleRowBandSize w:val="1"/>
      <w:tblStyleColBandSize w:val="1"/>
      <w:tblBorders>
        <w:top w:val="single" w:color="000000" w:themeColor="text1" w:themeTint="80" w:sz="4" w:space="0"/>
        <w:bottom w:val="single" w:color="000000" w:themeColor="text1" w:themeTint="80" w:sz="4" w:space="0"/>
      </w:tblBorders>
    </w:tblPr>
    <w:tblStylePr w:type="band1Horz">
      <w:rPr>
        <w:color w:val="404040" w:themeColor="text1"/>
        <w:sz w:val="22"/>
      </w:rPr>
      <w:tcPr>
        <w:shd w:val="clear" w:color="ffffff" w:fill="bfbfbf" w:themeFill="text1" w:themeFillTint="40"/>
      </w:tcPr>
    </w:tblStylePr>
    <w:tblStylePr w:type="band1Vert">
      <w:tcPr>
        <w:shd w:val="clear" w:color="ffffff" w:fill="bfbfbf" w:themeFill="text1" w:themeFillTint="40"/>
      </w:tcPr>
    </w:tblStylePr>
    <w:tblStylePr w:type="band2Horz">
      <w:rPr>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sz="4" w:space="0"/>
        </w:tcBorders>
      </w:tcPr>
    </w:tblStylePr>
    <w:tblStylePr w:type="lastCol">
      <w:rPr>
        <w:b/>
        <w:color w:val="000000" w:themeColor="text1"/>
      </w:rPr>
    </w:tblStylePr>
    <w:tblStylePr w:type="lastRow">
      <w:rPr>
        <w:b/>
        <w:color w:val="000000" w:themeColor="text1"/>
      </w:rPr>
      <w:tcPr>
        <w:tcBorders>
          <w:top w:val="single" w:color="000000" w:themeColor="text1" w:sz="4" w:space="0"/>
        </w:tcBorders>
      </w:tcPr>
    </w:tblStylePr>
  </w:style>
  <w:style w:type="table" w:styleId="1470">
    <w:name w:val="List Table 6 Colorful - Accent 1"/>
    <w:basedOn w:val="1504"/>
    <w:uiPriority w:val="99"/>
    <w:pPr>
      <w:spacing w:after="0" w:line="240" w:lineRule="auto"/>
    </w:pPr>
    <w:tblPr>
      <w:tblStyleRowBandSize w:val="1"/>
      <w:tblStyleColBandSize w:val="1"/>
      <w:tblBorders>
        <w:top w:val="single" w:color="000000" w:themeColor="accent1" w:sz="4" w:space="0"/>
        <w:bottom w:val="single" w:color="000000" w:themeColor="accent1" w:sz="4" w:space="0"/>
      </w:tblBorders>
    </w:tblPr>
    <w:tblStylePr w:type="band1Horz">
      <w:rPr>
        <w:color w:val="404040" w:themeColor="accent1" w:themeShade="95"/>
        <w:sz w:val="22"/>
      </w:rPr>
      <w:tcPr>
        <w:shd w:val="clear" w:color="ffffff" w:fill="cfdcf0" w:themeFill="accent1" w:themeFillTint="40"/>
      </w:tcPr>
    </w:tblStylePr>
    <w:tblStylePr w:type="band1Vert">
      <w:tcPr>
        <w:shd w:val="clear" w:color="ffffff" w:fill="cfdcf0" w:themeFill="accent1" w:themeFillTint="40"/>
      </w:tcPr>
    </w:tblStylePr>
    <w:tblStylePr w:type="band2Horz">
      <w:rPr>
        <w:color w:val="404040" w:themeColor="accent1" w:themeShade="95"/>
        <w:sz w:val="22"/>
      </w:rPr>
    </w:tblStylePr>
    <w:tblStylePr w:type="firstCol">
      <w:rPr>
        <w:b/>
        <w:color w:val="254374" w:themeColor="accent1" w:themeShade="95"/>
      </w:rPr>
    </w:tblStylePr>
    <w:tblStylePr w:type="firstRow">
      <w:rPr>
        <w:b/>
        <w:color w:val="254374" w:themeColor="accent1" w:themeShade="95"/>
      </w:rPr>
      <w:tcPr>
        <w:tcBorders>
          <w:bottom w:val="single" w:color="000000" w:themeColor="accent1" w:sz="4" w:space="0"/>
        </w:tcBorders>
      </w:tcPr>
    </w:tblStylePr>
    <w:tblStylePr w:type="lastCol">
      <w:rPr>
        <w:b/>
        <w:color w:val="254374" w:themeColor="accent1" w:themeShade="95"/>
      </w:rPr>
    </w:tblStylePr>
    <w:tblStylePr w:type="lastRow">
      <w:rPr>
        <w:b/>
        <w:color w:val="254374" w:themeColor="accent1" w:themeShade="95"/>
      </w:rPr>
      <w:tcPr>
        <w:tcBorders>
          <w:top w:val="single" w:color="000000" w:themeColor="accent1" w:sz="4" w:space="0"/>
        </w:tcBorders>
      </w:tcPr>
    </w:tblStylePr>
  </w:style>
  <w:style w:type="table" w:styleId="1471">
    <w:name w:val="List Table 6 Colorful - Accent 2"/>
    <w:basedOn w:val="1504"/>
    <w:uiPriority w:val="99"/>
    <w:pPr>
      <w:spacing w:after="0" w:line="240" w:lineRule="auto"/>
    </w:pPr>
    <w:tblPr>
      <w:tblStyleRowBandSize w:val="1"/>
      <w:tblStyleColBandSize w:val="1"/>
      <w:tblBorders>
        <w:top w:val="single" w:color="000000" w:themeColor="accent2" w:themeTint="97" w:sz="4" w:space="0"/>
        <w:bottom w:val="single" w:color="000000" w:themeColor="accent2" w:themeTint="97" w:sz="4" w:space="0"/>
      </w:tblBorders>
    </w:tblPr>
    <w:tblStylePr w:type="band1Horz">
      <w:rPr>
        <w:color w:val="404040" w:themeColor="accent2" w:themeTint="97" w:themeShade="95"/>
        <w:sz w:val="22"/>
      </w:rPr>
      <w:tcPr>
        <w:shd w:val="clear" w:color="ffffff" w:fill="fadecb" w:themeFill="accent2" w:themeFillTint="40"/>
      </w:tcPr>
    </w:tblStylePr>
    <w:tblStylePr w:type="band1Vert">
      <w:tcPr>
        <w:shd w:val="clear" w:color="ffffff" w:fill="fadecb" w:themeFill="accent2" w:themeFillTint="40"/>
      </w:tcPr>
    </w:tblStylePr>
    <w:tblStylePr w:type="band2Horz">
      <w:rPr>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sz="4" w:space="0"/>
        </w:tcBorders>
      </w:tcPr>
    </w:tblStylePr>
    <w:tblStylePr w:type="lastCol">
      <w:rPr>
        <w:b/>
        <w:color w:val="c95712" w:themeColor="accent2" w:themeTint="97" w:themeShade="95"/>
      </w:rPr>
    </w:tblStylePr>
    <w:tblStylePr w:type="lastRow">
      <w:rPr>
        <w:b/>
        <w:color w:val="c95712" w:themeColor="accent2" w:themeTint="97" w:themeShade="95"/>
      </w:rPr>
      <w:tcPr>
        <w:tcBorders>
          <w:top w:val="single" w:color="000000" w:themeColor="accent2" w:sz="4" w:space="0"/>
        </w:tcBorders>
      </w:tcPr>
    </w:tblStylePr>
  </w:style>
  <w:style w:type="table" w:styleId="1472">
    <w:name w:val="List Table 6 Colorful - Accent 3"/>
    <w:basedOn w:val="1504"/>
    <w:uiPriority w:val="99"/>
    <w:pPr>
      <w:spacing w:after="0" w:line="240" w:lineRule="auto"/>
    </w:pPr>
    <w:tblPr>
      <w:tblStyleRowBandSize w:val="1"/>
      <w:tblStyleColBandSize w:val="1"/>
      <w:tblBorders>
        <w:top w:val="single" w:color="000000" w:themeColor="accent3" w:themeTint="98" w:sz="4" w:space="0"/>
        <w:bottom w:val="single" w:color="000000" w:themeColor="accent3" w:themeTint="98" w:sz="4" w:space="0"/>
      </w:tblBorders>
    </w:tblPr>
    <w:tblStylePr w:type="band1Horz">
      <w:rPr>
        <w:color w:val="404040" w:themeColor="accent3" w:themeTint="98" w:themeShade="95"/>
        <w:sz w:val="22"/>
      </w:rPr>
      <w:tcPr>
        <w:shd w:val="clear" w:color="ffffff" w:fill="e8e8e8" w:themeFill="accent3" w:themeFillTint="40"/>
      </w:tcPr>
    </w:tblStylePr>
    <w:tblStylePr w:type="band1Vert">
      <w:tcPr>
        <w:shd w:val="clear" w:color="ffffff" w:fill="e8e8e8" w:themeFill="accent3" w:themeFillTint="40"/>
      </w:tcPr>
    </w:tblStylePr>
    <w:tblStylePr w:type="band2Horz">
      <w:rPr>
        <w:color w:val="404040" w:themeColor="accent3" w:themeTint="98" w:themeShade="95"/>
        <w:sz w:val="22"/>
      </w:rPr>
    </w:tblStylePr>
    <w:tblStylePr w:type="firstCol">
      <w:rPr>
        <w:b/>
        <w:color w:val="757575" w:themeColor="accent3" w:themeTint="98" w:themeShade="95"/>
      </w:rPr>
    </w:tblStylePr>
    <w:tblStylePr w:type="firstRow">
      <w:rPr>
        <w:b/>
        <w:color w:val="757575" w:themeColor="accent3" w:themeTint="98" w:themeShade="95"/>
      </w:rPr>
      <w:tcPr>
        <w:tcBorders>
          <w:bottom w:val="single" w:color="000000" w:themeColor="accent3" w:sz="4" w:space="0"/>
        </w:tcBorders>
      </w:tcPr>
    </w:tblStylePr>
    <w:tblStylePr w:type="lastCol">
      <w:rPr>
        <w:b/>
        <w:color w:val="757575" w:themeColor="accent3" w:themeTint="98" w:themeShade="95"/>
      </w:rPr>
    </w:tblStylePr>
    <w:tblStylePr w:type="lastRow">
      <w:rPr>
        <w:b/>
        <w:color w:val="757575" w:themeColor="accent3" w:themeTint="98" w:themeShade="95"/>
      </w:rPr>
      <w:tcPr>
        <w:tcBorders>
          <w:top w:val="single" w:color="000000" w:themeColor="accent3" w:sz="4" w:space="0"/>
        </w:tcBorders>
      </w:tcPr>
    </w:tblStylePr>
  </w:style>
  <w:style w:type="table" w:styleId="1473">
    <w:name w:val="List Table 6 Colorful - Accent 4"/>
    <w:basedOn w:val="1504"/>
    <w:uiPriority w:val="99"/>
    <w:pPr>
      <w:spacing w:after="0" w:line="240" w:lineRule="auto"/>
    </w:pPr>
    <w:tblPr>
      <w:tblStyleRowBandSize w:val="1"/>
      <w:tblStyleColBandSize w:val="1"/>
      <w:tblBorders>
        <w:top w:val="single" w:color="000000" w:themeColor="accent4" w:themeTint="9A" w:sz="4" w:space="0"/>
        <w:bottom w:val="single" w:color="000000" w:themeColor="accent4" w:themeTint="9A" w:sz="4" w:space="0"/>
      </w:tblBorders>
    </w:tblPr>
    <w:tblStylePr w:type="band1Horz">
      <w:rPr>
        <w:color w:val="404040" w:themeColor="accent4" w:themeTint="9A" w:themeShade="95"/>
        <w:sz w:val="22"/>
      </w:rPr>
      <w:tcPr>
        <w:shd w:val="clear" w:color="ffffff" w:fill="ffefbf" w:themeFill="accent4" w:themeFillTint="40"/>
      </w:tcPr>
    </w:tblStylePr>
    <w:tblStylePr w:type="band1Vert">
      <w:tcPr>
        <w:shd w:val="clear" w:color="ffffff" w:fill="ffefbf" w:themeFill="accent4" w:themeFillTint="40"/>
      </w:tcPr>
    </w:tblStylePr>
    <w:tblStylePr w:type="band2Horz">
      <w:rPr>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sz="4" w:space="0"/>
        </w:tcBorders>
      </w:tcPr>
    </w:tblStylePr>
    <w:tblStylePr w:type="lastCol">
      <w:rPr>
        <w:b/>
        <w:color w:val="cd9600" w:themeColor="accent4" w:themeTint="9A" w:themeShade="95"/>
      </w:rPr>
    </w:tblStylePr>
    <w:tblStylePr w:type="lastRow">
      <w:rPr>
        <w:b/>
        <w:color w:val="cd9600" w:themeColor="accent4" w:themeTint="9A" w:themeShade="95"/>
      </w:rPr>
      <w:tcPr>
        <w:tcBorders>
          <w:top w:val="single" w:color="000000" w:themeColor="accent4" w:sz="4" w:space="0"/>
        </w:tcBorders>
      </w:tcPr>
    </w:tblStylePr>
  </w:style>
  <w:style w:type="table" w:styleId="1474">
    <w:name w:val="List Table 6 Colorful - Accent 5"/>
    <w:basedOn w:val="1504"/>
    <w:uiPriority w:val="99"/>
    <w:pPr>
      <w:spacing w:after="0" w:line="240" w:lineRule="auto"/>
    </w:pPr>
    <w:tblPr>
      <w:tblStyleRowBandSize w:val="1"/>
      <w:tblStyleColBandSize w:val="1"/>
      <w:tblBorders>
        <w:top w:val="single" w:color="000000" w:themeColor="accent5" w:themeTint="9A" w:sz="4" w:space="0"/>
        <w:bottom w:val="single" w:color="000000" w:themeColor="accent5" w:themeTint="9A" w:sz="4" w:space="0"/>
      </w:tblBorders>
    </w:tblPr>
    <w:tblStylePr w:type="band1Horz">
      <w:rPr>
        <w:color w:val="404040" w:themeColor="accent5" w:themeTint="9A" w:themeShade="95"/>
        <w:sz w:val="22"/>
      </w:rPr>
      <w:tcPr>
        <w:shd w:val="clear" w:color="ffffff" w:fill="d5e6f4" w:themeFill="accent5" w:themeFillTint="40"/>
      </w:tcPr>
    </w:tblStylePr>
    <w:tblStylePr w:type="band1Vert">
      <w:tcPr>
        <w:shd w:val="clear" w:color="ffffff" w:fill="d5e6f4" w:themeFill="accent5" w:themeFillTint="40"/>
      </w:tcPr>
    </w:tblStylePr>
    <w:tblStylePr w:type="band2Horz">
      <w:rPr>
        <w:color w:val="404040" w:themeColor="accent5" w:themeTint="9A" w:themeShade="95"/>
        <w:sz w:val="22"/>
      </w:rPr>
    </w:tblStylePr>
    <w:tblStylePr w:type="firstCol">
      <w:rPr>
        <w:b/>
        <w:color w:val="2e78b1" w:themeColor="accent5" w:themeTint="9A" w:themeShade="95"/>
      </w:rPr>
    </w:tblStylePr>
    <w:tblStylePr w:type="firstRow">
      <w:rPr>
        <w:b/>
        <w:color w:val="2e78b1" w:themeColor="accent5" w:themeTint="9A" w:themeShade="95"/>
      </w:rPr>
      <w:tcPr>
        <w:tcBorders>
          <w:bottom w:val="single" w:color="000000" w:themeColor="accent5" w:sz="4" w:space="0"/>
        </w:tcBorders>
      </w:tcPr>
    </w:tblStylePr>
    <w:tblStylePr w:type="lastCol">
      <w:rPr>
        <w:b/>
        <w:color w:val="2e78b1" w:themeColor="accent5" w:themeTint="9A" w:themeShade="95"/>
      </w:rPr>
    </w:tblStylePr>
    <w:tblStylePr w:type="lastRow">
      <w:rPr>
        <w:b/>
        <w:color w:val="2e78b1" w:themeColor="accent5" w:themeTint="9A" w:themeShade="95"/>
      </w:rPr>
      <w:tcPr>
        <w:tcBorders>
          <w:top w:val="single" w:color="000000" w:themeColor="accent5" w:sz="4" w:space="0"/>
        </w:tcBorders>
      </w:tcPr>
    </w:tblStylePr>
  </w:style>
  <w:style w:type="table" w:styleId="1475">
    <w:name w:val="List Table 6 Colorful - Accent 6"/>
    <w:basedOn w:val="1504"/>
    <w:uiPriority w:val="99"/>
    <w:pPr>
      <w:spacing w:after="0" w:line="240" w:lineRule="auto"/>
    </w:pPr>
    <w:tblPr>
      <w:tblStyleRowBandSize w:val="1"/>
      <w:tblStyleColBandSize w:val="1"/>
      <w:tblBorders>
        <w:top w:val="single" w:color="000000" w:themeColor="accent6" w:themeTint="98" w:sz="4" w:space="0"/>
        <w:bottom w:val="single" w:color="000000" w:themeColor="accent6" w:themeTint="98" w:sz="4" w:space="0"/>
      </w:tblBorders>
    </w:tblPr>
    <w:tblStylePr w:type="band1Horz">
      <w:rPr>
        <w:color w:val="404040" w:themeColor="accent6" w:themeTint="98" w:themeShade="95"/>
        <w:sz w:val="22"/>
      </w:rPr>
      <w:tcPr>
        <w:shd w:val="clear" w:color="ffffff" w:fill="dbebd0" w:themeFill="accent6" w:themeFillTint="40"/>
      </w:tcPr>
    </w:tblStylePr>
    <w:tblStylePr w:type="band1Vert">
      <w:tcPr>
        <w:shd w:val="clear" w:color="ffffff" w:fill="dbebd0" w:themeFill="accent6" w:themeFillTint="40"/>
      </w:tcPr>
    </w:tblStylePr>
    <w:tblStylePr w:type="band2Horz">
      <w:rPr>
        <w:color w:val="404040" w:themeColor="accent6" w:themeTint="98" w:themeShade="95"/>
        <w:sz w:val="22"/>
      </w:rPr>
    </w:tblStylePr>
    <w:tblStylePr w:type="firstCol">
      <w:rPr>
        <w:b/>
        <w:color w:val="5f8f3c" w:themeColor="accent6" w:themeTint="98" w:themeShade="95"/>
      </w:rPr>
    </w:tblStylePr>
    <w:tblStylePr w:type="firstRow">
      <w:rPr>
        <w:b/>
        <w:color w:val="5f8f3c" w:themeColor="accent6" w:themeTint="98" w:themeShade="95"/>
      </w:rPr>
      <w:tcPr>
        <w:tcBorders>
          <w:bottom w:val="single" w:color="000000" w:themeColor="accent6" w:sz="4" w:space="0"/>
        </w:tcBorders>
      </w:tcPr>
    </w:tblStylePr>
    <w:tblStylePr w:type="lastCol">
      <w:rPr>
        <w:b/>
        <w:color w:val="5f8f3c" w:themeColor="accent6" w:themeTint="98" w:themeShade="95"/>
      </w:rPr>
    </w:tblStylePr>
    <w:tblStylePr w:type="lastRow">
      <w:rPr>
        <w:b/>
        <w:color w:val="5f8f3c" w:themeColor="accent6" w:themeTint="98" w:themeShade="95"/>
      </w:rPr>
      <w:tcPr>
        <w:tcBorders>
          <w:top w:val="single" w:color="000000" w:themeColor="accent6" w:sz="4" w:space="0"/>
        </w:tcBorders>
      </w:tcPr>
    </w:tblStylePr>
  </w:style>
  <w:style w:type="table" w:styleId="1476">
    <w:name w:val="List Table 7 Colorful"/>
    <w:basedOn w:val="1504"/>
    <w:uiPriority w:val="99"/>
    <w:pPr>
      <w:spacing w:after="0" w:line="240" w:lineRule="auto"/>
    </w:pPr>
    <w:tblPr>
      <w:tblStyleRowBandSize w:val="1"/>
      <w:tblStyleColBandSize w:val="1"/>
      <w:tblBorders>
        <w:right w:val="single" w:color="000000" w:themeColor="text1" w:themeTint="80" w:sz="4" w:space="0"/>
      </w:tblBorders>
    </w:tblPr>
    <w:tblStylePr w:type="band1Horz">
      <w:rPr>
        <w:color w:val="4a4a4a" w:themeColor="text1" w:themeTint="80" w:themeShade="95"/>
        <w:sz w:val="22"/>
      </w:rPr>
      <w:tcPr>
        <w:shd w:val="clear" w:color="ffffff" w:fill="bfbfbf" w:themeFill="text1" w:themeFillTint="40"/>
      </w:tcPr>
    </w:tblStylePr>
    <w:tblStylePr w:type="band1Vert">
      <w:tcPr>
        <w:shd w:val="clear" w:color="ffffff" w:fill="bfbfbf" w:themeFill="text1" w:themeFillTint="40"/>
      </w:tcPr>
    </w:tblStylePr>
    <w:tblStylePr w:type="band2Horz">
      <w:rPr>
        <w:color w:val="4a4a4a" w:themeColor="text1" w:themeTint="80" w:themeShade="95"/>
        <w:sz w:val="22"/>
      </w:rPr>
    </w:tblStylePr>
    <w:tblStylePr w:type="firstCol">
      <w:rPr>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sz="4" w:space="0"/>
        </w:tcBorders>
      </w:tcPr>
    </w:tblStylePr>
    <w:tblStylePr w:type="firstRow">
      <w:rPr>
        <w:i/>
        <w:color w:val="4a4a4a" w:themeColor="text1" w:themeTint="80" w:themeShade="95"/>
        <w:sz w:val="22"/>
      </w:rPr>
      <w:tcPr>
        <w:shd w:val="clear" w:color="ffffff" w:fill="ffffff" w:themeFill="light1"/>
        <w:tcBorders>
          <w:top w:val="none" w:color="000000" w:sz="4" w:space="0"/>
          <w:left w:val="none" w:color="000000" w:sz="4" w:space="0"/>
          <w:bottom w:val="single" w:color="000000" w:themeColor="text1" w:sz="4" w:space="0"/>
          <w:right w:val="none" w:color="000000" w:sz="4" w:space="0"/>
        </w:tcBorders>
      </w:tcPr>
    </w:tblStylePr>
    <w:tblStylePr w:type="lastCol">
      <w:rPr>
        <w:i/>
        <w:color w:val="4a4a4a" w:themeColor="text1" w:themeTint="80" w:themeShade="95"/>
        <w:sz w:val="22"/>
      </w:rPr>
      <w:tcPr>
        <w:shd w:val="clear" w:color="ffffff"/>
        <w:tcBorders>
          <w:top w:val="none" w:color="000000" w:sz="4" w:space="0"/>
          <w:left w:val="single" w:color="000000" w:themeColor="text1" w:sz="4" w:space="0"/>
          <w:bottom w:val="none" w:color="000000" w:sz="4" w:space="0"/>
          <w:right w:val="none" w:color="000000" w:sz="4" w:space="0"/>
        </w:tcBorders>
      </w:tcPr>
    </w:tblStylePr>
    <w:tblStylePr w:type="lastRow">
      <w:rPr>
        <w:i/>
        <w:color w:val="4a4a4a" w:themeColor="text1" w:themeTint="80" w:themeShade="95"/>
        <w:sz w:val="22"/>
      </w:rPr>
      <w:tcPr>
        <w:shd w:val="clear" w:color="ffffff" w:fill="ffffff" w:themeFill="light1"/>
        <w:tcBorders>
          <w:top w:val="single" w:color="000000" w:themeColor="text1" w:sz="4" w:space="0"/>
          <w:left w:val="none" w:color="000000" w:sz="4" w:space="0"/>
          <w:bottom w:val="none" w:color="000000" w:sz="4" w:space="0"/>
          <w:right w:val="none" w:color="000000" w:sz="4" w:space="0"/>
        </w:tcBorders>
      </w:tcPr>
    </w:tblStylePr>
    <w:tblStylePr w:type="wholeTable">
      <w:rPr>
        <w:color w:val="4a4a4a" w:themeColor="text1" w:themeTint="80" w:themeShade="95"/>
        <w:sz w:val="22"/>
      </w:rPr>
    </w:tblStylePr>
  </w:style>
  <w:style w:type="table" w:styleId="1477">
    <w:name w:val="List Table 7 Colorful - Accent 1"/>
    <w:basedOn w:val="1504"/>
    <w:uiPriority w:val="99"/>
    <w:pPr>
      <w:spacing w:after="0" w:line="240" w:lineRule="auto"/>
    </w:pPr>
    <w:tblPr>
      <w:tblStyleRowBandSize w:val="1"/>
      <w:tblStyleColBandSize w:val="1"/>
      <w:tblBorders>
        <w:right w:val="single" w:color="000000" w:themeColor="accent1" w:sz="4" w:space="0"/>
      </w:tblBorders>
    </w:tblPr>
    <w:tblStylePr w:type="band1Horz">
      <w:rPr>
        <w:color w:val="254374" w:themeColor="accent1" w:themeShade="95"/>
        <w:sz w:val="22"/>
      </w:rPr>
      <w:tcPr>
        <w:shd w:val="clear" w:color="ffffff" w:fill="cfdcf0" w:themeFill="accent1" w:themeFillTint="40"/>
      </w:tcPr>
    </w:tblStylePr>
    <w:tblStylePr w:type="band1Vert">
      <w:tcPr>
        <w:shd w:val="clear" w:color="ffffff" w:fill="cfdcf0" w:themeFill="accent1" w:themeFillTint="40"/>
      </w:tcPr>
    </w:tblStylePr>
    <w:tblStylePr w:type="band2Horz">
      <w:rPr>
        <w:color w:val="254374" w:themeColor="accent1" w:themeShade="95"/>
        <w:sz w:val="22"/>
      </w:rPr>
    </w:tblStylePr>
    <w:tblStylePr w:type="firstCol">
      <w:rPr>
        <w:i/>
        <w:color w:val="254374"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i/>
        <w:color w:val="254374" w:themeColor="accent1" w:themeShade="95"/>
        <w:sz w:val="22"/>
      </w:rPr>
      <w:tcPr>
        <w:shd w:val="clear" w:color="ffffff"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i/>
        <w:color w:val="254374"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i/>
        <w:color w:val="254374" w:themeColor="accent1" w:themeShade="95"/>
        <w:sz w:val="22"/>
      </w:rPr>
      <w:tcPr>
        <w:shd w:val="clear" w:color="ffffff"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color w:val="254374" w:themeColor="accent1" w:themeShade="95"/>
        <w:sz w:val="22"/>
      </w:rPr>
    </w:tblStylePr>
  </w:style>
  <w:style w:type="table" w:styleId="1478">
    <w:name w:val="List Table 7 Colorful - Accent 2"/>
    <w:basedOn w:val="1504"/>
    <w:uiPriority w:val="99"/>
    <w:pPr>
      <w:spacing w:after="0" w:line="240" w:lineRule="auto"/>
    </w:pPr>
    <w:tblPr>
      <w:tblStyleRowBandSize w:val="1"/>
      <w:tblStyleColBandSize w:val="1"/>
      <w:tblBorders>
        <w:right w:val="single" w:color="000000" w:themeColor="accent2" w:themeTint="97" w:sz="4" w:space="0"/>
      </w:tblBorders>
    </w:tblPr>
    <w:tblStylePr w:type="band1Horz">
      <w:rPr>
        <w:color w:val="c95712" w:themeColor="accent2" w:themeTint="97" w:themeShade="95"/>
        <w:sz w:val="22"/>
      </w:rPr>
      <w:tcPr>
        <w:shd w:val="clear" w:color="ffffff" w:fill="fadecb" w:themeFill="accent2" w:themeFillTint="40"/>
      </w:tcPr>
    </w:tblStylePr>
    <w:tblStylePr w:type="band1Vert">
      <w:tcPr>
        <w:shd w:val="clear" w:color="ffffff" w:fill="fadecb" w:themeFill="accent2" w:themeFillTint="40"/>
      </w:tcPr>
    </w:tblStylePr>
    <w:tblStylePr w:type="band2Horz">
      <w:rPr>
        <w:color w:val="c95712" w:themeColor="accent2" w:themeTint="97" w:themeShade="95"/>
        <w:sz w:val="22"/>
      </w:rPr>
    </w:tblStylePr>
    <w:tblStylePr w:type="firstCol">
      <w:rPr>
        <w:i/>
        <w:color w:val="c95712"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sz="4" w:space="0"/>
        </w:tcBorders>
      </w:tcPr>
    </w:tblStylePr>
    <w:tblStylePr w:type="firstRow">
      <w:rPr>
        <w:i/>
        <w:color w:val="c95712" w:themeColor="accent2" w:themeTint="97" w:themeShade="95"/>
        <w:sz w:val="22"/>
      </w:rPr>
      <w:tcPr>
        <w:shd w:val="clear" w:color="ffffff" w:fill="ffffff" w:themeFill="light1"/>
        <w:tcBorders>
          <w:top w:val="none" w:color="000000" w:sz="4" w:space="0"/>
          <w:left w:val="none" w:color="000000" w:sz="4" w:space="0"/>
          <w:bottom w:val="single" w:color="000000" w:themeColor="accent2" w:sz="4" w:space="0"/>
          <w:right w:val="none" w:color="000000" w:sz="4" w:space="0"/>
        </w:tcBorders>
      </w:tcPr>
    </w:tblStylePr>
    <w:tblStylePr w:type="lastCol">
      <w:rPr>
        <w:i/>
        <w:color w:val="c95712" w:themeColor="accent2" w:themeTint="97" w:themeShade="95"/>
        <w:sz w:val="22"/>
      </w:rPr>
      <w:tcPr>
        <w:shd w:val="clear" w:color="ffffff"/>
        <w:tcBorders>
          <w:top w:val="none" w:color="000000" w:sz="4" w:space="0"/>
          <w:left w:val="single" w:color="000000" w:themeColor="accent2" w:sz="4" w:space="0"/>
          <w:bottom w:val="none" w:color="000000" w:sz="4" w:space="0"/>
          <w:right w:val="none" w:color="000000" w:sz="4" w:space="0"/>
        </w:tcBorders>
      </w:tcPr>
    </w:tblStylePr>
    <w:tblStylePr w:type="lastRow">
      <w:rPr>
        <w:i/>
        <w:color w:val="c95712" w:themeColor="accent2" w:themeTint="97" w:themeShade="95"/>
        <w:sz w:val="22"/>
      </w:rPr>
      <w:tcPr>
        <w:shd w:val="clear" w:color="ffffff" w:fill="ffffff" w:themeFill="light1"/>
        <w:tcBorders>
          <w:top w:val="single" w:color="000000" w:themeColor="accent2" w:sz="4" w:space="0"/>
          <w:left w:val="none" w:color="000000" w:sz="4" w:space="0"/>
          <w:bottom w:val="none" w:color="000000" w:sz="4" w:space="0"/>
          <w:right w:val="none" w:color="000000" w:sz="4" w:space="0"/>
        </w:tcBorders>
      </w:tcPr>
    </w:tblStylePr>
    <w:tblStylePr w:type="wholeTable">
      <w:rPr>
        <w:color w:val="c95712" w:themeColor="accent2" w:themeTint="97" w:themeShade="95"/>
        <w:sz w:val="22"/>
      </w:rPr>
    </w:tblStylePr>
  </w:style>
  <w:style w:type="table" w:styleId="1479">
    <w:name w:val="List Table 7 Colorful - Accent 3"/>
    <w:basedOn w:val="1504"/>
    <w:uiPriority w:val="99"/>
    <w:pPr>
      <w:spacing w:after="0" w:line="240" w:lineRule="auto"/>
    </w:pPr>
    <w:tblPr>
      <w:tblStyleRowBandSize w:val="1"/>
      <w:tblStyleColBandSize w:val="1"/>
      <w:tblBorders>
        <w:right w:val="single" w:color="000000" w:themeColor="accent3" w:themeTint="98" w:sz="4" w:space="0"/>
      </w:tblBorders>
    </w:tblPr>
    <w:tblStylePr w:type="band1Horz">
      <w:rPr>
        <w:color w:val="757575" w:themeColor="accent3" w:themeTint="98" w:themeShade="95"/>
        <w:sz w:val="22"/>
      </w:rPr>
      <w:tcPr>
        <w:shd w:val="clear" w:color="ffffff" w:fill="e8e8e8" w:themeFill="accent3" w:themeFillTint="40"/>
      </w:tcPr>
    </w:tblStylePr>
    <w:tblStylePr w:type="band1Vert">
      <w:tcPr>
        <w:shd w:val="clear" w:color="ffffff" w:fill="e8e8e8" w:themeFill="accent3" w:themeFillTint="40"/>
      </w:tcPr>
    </w:tblStylePr>
    <w:tblStylePr w:type="band2Horz">
      <w:rPr>
        <w:color w:val="757575" w:themeColor="accent3" w:themeTint="98" w:themeShade="95"/>
        <w:sz w:val="22"/>
      </w:rPr>
    </w:tblStylePr>
    <w:tblStylePr w:type="firstCol">
      <w:rPr>
        <w:i/>
        <w:color w:val="757575"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sz="4" w:space="0"/>
        </w:tcBorders>
      </w:tcPr>
    </w:tblStylePr>
    <w:tblStylePr w:type="firstRow">
      <w:rPr>
        <w:i/>
        <w:color w:val="757575" w:themeColor="accent3" w:themeTint="98" w:themeShade="95"/>
        <w:sz w:val="22"/>
      </w:rPr>
      <w:tcPr>
        <w:shd w:val="clear" w:color="ffffff" w:fill="ffffff" w:themeFill="light1"/>
        <w:tcBorders>
          <w:top w:val="none" w:color="000000" w:sz="4" w:space="0"/>
          <w:left w:val="none" w:color="000000" w:sz="4" w:space="0"/>
          <w:bottom w:val="single" w:color="000000" w:themeColor="accent3" w:sz="4" w:space="0"/>
          <w:right w:val="none" w:color="000000" w:sz="4" w:space="0"/>
        </w:tcBorders>
      </w:tcPr>
    </w:tblStylePr>
    <w:tblStylePr w:type="lastCol">
      <w:rPr>
        <w:i/>
        <w:color w:val="757575" w:themeColor="accent3" w:themeTint="98" w:themeShade="95"/>
        <w:sz w:val="22"/>
      </w:rPr>
      <w:tcPr>
        <w:shd w:val="clear" w:color="ffffff"/>
        <w:tcBorders>
          <w:top w:val="none" w:color="000000" w:sz="4" w:space="0"/>
          <w:left w:val="single" w:color="000000" w:themeColor="accent3" w:sz="4" w:space="0"/>
          <w:bottom w:val="none" w:color="000000" w:sz="4" w:space="0"/>
          <w:right w:val="none" w:color="000000" w:sz="4" w:space="0"/>
        </w:tcBorders>
      </w:tcPr>
    </w:tblStylePr>
    <w:tblStylePr w:type="lastRow">
      <w:rPr>
        <w:i/>
        <w:color w:val="757575" w:themeColor="accent3" w:themeTint="98" w:themeShade="95"/>
        <w:sz w:val="22"/>
      </w:rPr>
      <w:tcPr>
        <w:shd w:val="clear" w:color="ffffff" w:fill="ffffff" w:themeFill="light1"/>
        <w:tcBorders>
          <w:top w:val="single" w:color="000000" w:themeColor="accent3" w:sz="4" w:space="0"/>
          <w:left w:val="none" w:color="000000" w:sz="4" w:space="0"/>
          <w:bottom w:val="none" w:color="000000" w:sz="4" w:space="0"/>
          <w:right w:val="none" w:color="000000" w:sz="4" w:space="0"/>
        </w:tcBorders>
      </w:tcPr>
    </w:tblStylePr>
    <w:tblStylePr w:type="wholeTable">
      <w:rPr>
        <w:color w:val="757575" w:themeColor="accent3" w:themeTint="98" w:themeShade="95"/>
        <w:sz w:val="22"/>
      </w:rPr>
    </w:tblStylePr>
  </w:style>
  <w:style w:type="table" w:styleId="1480">
    <w:name w:val="List Table 7 Colorful - Accent 4"/>
    <w:basedOn w:val="1504"/>
    <w:uiPriority w:val="99"/>
    <w:pPr>
      <w:spacing w:after="0" w:line="240" w:lineRule="auto"/>
    </w:pPr>
    <w:tblPr>
      <w:tblStyleRowBandSize w:val="1"/>
      <w:tblStyleColBandSize w:val="1"/>
      <w:tblBorders>
        <w:right w:val="single" w:color="000000" w:themeColor="accent4" w:themeTint="9A" w:sz="4" w:space="0"/>
      </w:tblBorders>
    </w:tblPr>
    <w:tblStylePr w:type="band1Horz">
      <w:rPr>
        <w:color w:val="cd9600" w:themeColor="accent4" w:themeTint="9A" w:themeShade="95"/>
        <w:sz w:val="22"/>
      </w:rPr>
      <w:tcPr>
        <w:shd w:val="clear" w:color="ffffff" w:fill="ffefbf" w:themeFill="accent4" w:themeFillTint="40"/>
      </w:tcPr>
    </w:tblStylePr>
    <w:tblStylePr w:type="band1Vert">
      <w:tcPr>
        <w:shd w:val="clear" w:color="ffffff" w:fill="ffefbf" w:themeFill="accent4" w:themeFillTint="40"/>
      </w:tcPr>
    </w:tblStylePr>
    <w:tblStylePr w:type="band2Horz">
      <w:rPr>
        <w:color w:val="cd9600" w:themeColor="accent4" w:themeTint="9A" w:themeShade="95"/>
        <w:sz w:val="22"/>
      </w:rPr>
    </w:tblStylePr>
    <w:tblStylePr w:type="firstCol">
      <w:rPr>
        <w:i/>
        <w:color w:val="cd9600"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sz="4" w:space="0"/>
        </w:tcBorders>
      </w:tcPr>
    </w:tblStylePr>
    <w:tblStylePr w:type="firstRow">
      <w:rPr>
        <w:i/>
        <w:color w:val="cd9600" w:themeColor="accent4" w:themeTint="9A" w:themeShade="95"/>
        <w:sz w:val="22"/>
      </w:rPr>
      <w:tcPr>
        <w:shd w:val="clear" w:color="ffffff" w:fill="ffffff" w:themeFill="light1"/>
        <w:tcBorders>
          <w:top w:val="none" w:color="000000" w:sz="4" w:space="0"/>
          <w:left w:val="none" w:color="000000" w:sz="4" w:space="0"/>
          <w:bottom w:val="single" w:color="000000" w:themeColor="accent4" w:sz="4" w:space="0"/>
          <w:right w:val="none" w:color="000000" w:sz="4" w:space="0"/>
        </w:tcBorders>
      </w:tcPr>
    </w:tblStylePr>
    <w:tblStylePr w:type="lastCol">
      <w:rPr>
        <w:i/>
        <w:color w:val="cd9600" w:themeColor="accent4" w:themeTint="9A" w:themeShade="95"/>
        <w:sz w:val="22"/>
      </w:rPr>
      <w:tcPr>
        <w:shd w:val="clear" w:color="ffffff"/>
        <w:tcBorders>
          <w:top w:val="none" w:color="000000" w:sz="4" w:space="0"/>
          <w:left w:val="single" w:color="000000" w:themeColor="accent4" w:sz="4" w:space="0"/>
          <w:bottom w:val="none" w:color="000000" w:sz="4" w:space="0"/>
          <w:right w:val="none" w:color="000000" w:sz="4" w:space="0"/>
        </w:tcBorders>
      </w:tcPr>
    </w:tblStylePr>
    <w:tblStylePr w:type="lastRow">
      <w:rPr>
        <w:i/>
        <w:color w:val="cd9600" w:themeColor="accent4" w:themeTint="9A" w:themeShade="95"/>
        <w:sz w:val="22"/>
      </w:rPr>
      <w:tcPr>
        <w:shd w:val="clear" w:color="ffffff" w:fill="ffffff" w:themeFill="light1"/>
        <w:tcBorders>
          <w:top w:val="single" w:color="000000" w:themeColor="accent4" w:sz="4" w:space="0"/>
          <w:left w:val="none" w:color="000000" w:sz="4" w:space="0"/>
          <w:bottom w:val="none" w:color="000000" w:sz="4" w:space="0"/>
          <w:right w:val="none" w:color="000000" w:sz="4" w:space="0"/>
        </w:tcBorders>
      </w:tcPr>
    </w:tblStylePr>
    <w:tblStylePr w:type="wholeTable">
      <w:rPr>
        <w:color w:val="cd9600" w:themeColor="accent4" w:themeTint="9A" w:themeShade="95"/>
        <w:sz w:val="22"/>
      </w:rPr>
    </w:tblStylePr>
  </w:style>
  <w:style w:type="table" w:styleId="1481">
    <w:name w:val="List Table 7 Colorful - Accent 5"/>
    <w:basedOn w:val="1504"/>
    <w:uiPriority w:val="99"/>
    <w:pPr>
      <w:spacing w:after="0" w:line="240" w:lineRule="auto"/>
    </w:pPr>
    <w:tblPr>
      <w:tblStyleRowBandSize w:val="1"/>
      <w:tblStyleColBandSize w:val="1"/>
      <w:tblBorders>
        <w:right w:val="single" w:color="000000" w:themeColor="accent5" w:themeTint="9A" w:sz="4" w:space="0"/>
      </w:tblBorders>
    </w:tblPr>
    <w:tblStylePr w:type="band1Horz">
      <w:rPr>
        <w:color w:val="2e78b1" w:themeColor="accent5" w:themeTint="9A" w:themeShade="95"/>
        <w:sz w:val="22"/>
      </w:rPr>
      <w:tcPr>
        <w:shd w:val="clear" w:color="ffffff" w:fill="d5e6f4" w:themeFill="accent5" w:themeFillTint="40"/>
      </w:tcPr>
    </w:tblStylePr>
    <w:tblStylePr w:type="band1Vert">
      <w:tcPr>
        <w:shd w:val="clear" w:color="ffffff" w:fill="d5e6f4" w:themeFill="accent5" w:themeFillTint="40"/>
      </w:tcPr>
    </w:tblStylePr>
    <w:tblStylePr w:type="band2Horz">
      <w:rPr>
        <w:color w:val="2e78b1" w:themeColor="accent5" w:themeTint="9A" w:themeShade="95"/>
        <w:sz w:val="22"/>
      </w:rPr>
    </w:tblStylePr>
    <w:tblStylePr w:type="firstCol">
      <w:rPr>
        <w:i/>
        <w:color w:val="2e78b1"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sz="4" w:space="0"/>
        </w:tcBorders>
      </w:tcPr>
    </w:tblStylePr>
    <w:tblStylePr w:type="firstRow">
      <w:rPr>
        <w:i/>
        <w:color w:val="2e78b1" w:themeColor="accent5" w:themeTint="9A" w:themeShade="95"/>
        <w:sz w:val="22"/>
      </w:rPr>
      <w:tcPr>
        <w:shd w:val="clear" w:color="ffffff" w:fill="ffffff" w:themeFill="light1"/>
        <w:tcBorders>
          <w:top w:val="none" w:color="000000" w:sz="4" w:space="0"/>
          <w:left w:val="none" w:color="000000" w:sz="4" w:space="0"/>
          <w:bottom w:val="single" w:color="000000" w:themeColor="accent5" w:sz="4" w:space="0"/>
          <w:right w:val="none" w:color="000000" w:sz="4" w:space="0"/>
        </w:tcBorders>
      </w:tcPr>
    </w:tblStylePr>
    <w:tblStylePr w:type="lastCol">
      <w:rPr>
        <w:i/>
        <w:color w:val="2e78b1" w:themeColor="accent5" w:themeTint="9A" w:themeShade="95"/>
        <w:sz w:val="22"/>
      </w:rPr>
      <w:tcPr>
        <w:shd w:val="clear" w:color="ffffff"/>
        <w:tcBorders>
          <w:top w:val="none" w:color="000000" w:sz="4" w:space="0"/>
          <w:left w:val="single" w:color="000000" w:themeColor="accent5" w:sz="4" w:space="0"/>
          <w:bottom w:val="none" w:color="000000" w:sz="4" w:space="0"/>
          <w:right w:val="none" w:color="000000" w:sz="4" w:space="0"/>
        </w:tcBorders>
      </w:tcPr>
    </w:tblStylePr>
    <w:tblStylePr w:type="lastRow">
      <w:rPr>
        <w:i/>
        <w:color w:val="2e78b1" w:themeColor="accent5" w:themeTint="9A" w:themeShade="95"/>
        <w:sz w:val="22"/>
      </w:rPr>
      <w:tcPr>
        <w:shd w:val="clear" w:color="ffffff" w:fill="ffffff" w:themeFill="light1"/>
        <w:tcBorders>
          <w:top w:val="single" w:color="000000" w:themeColor="accent5" w:sz="4" w:space="0"/>
          <w:left w:val="none" w:color="000000" w:sz="4" w:space="0"/>
          <w:bottom w:val="none" w:color="000000" w:sz="4" w:space="0"/>
          <w:right w:val="none" w:color="000000" w:sz="4" w:space="0"/>
        </w:tcBorders>
      </w:tcPr>
    </w:tblStylePr>
    <w:tblStylePr w:type="wholeTable">
      <w:rPr>
        <w:color w:val="2e78b1" w:themeColor="accent5" w:themeTint="9A" w:themeShade="95"/>
        <w:sz w:val="22"/>
      </w:rPr>
    </w:tblStylePr>
  </w:style>
  <w:style w:type="table" w:styleId="1482">
    <w:name w:val="List Table 7 Colorful - Accent 6"/>
    <w:basedOn w:val="1504"/>
    <w:uiPriority w:val="99"/>
    <w:pPr>
      <w:spacing w:after="0" w:line="240" w:lineRule="auto"/>
    </w:pPr>
    <w:tblPr>
      <w:tblStyleRowBandSize w:val="1"/>
      <w:tblStyleColBandSize w:val="1"/>
      <w:tblBorders>
        <w:right w:val="single" w:color="000000" w:themeColor="accent6" w:themeTint="98" w:sz="4" w:space="0"/>
      </w:tblBorders>
    </w:tblPr>
    <w:tblStylePr w:type="band1Horz">
      <w:rPr>
        <w:color w:val="5f8f3c" w:themeColor="accent6" w:themeTint="98" w:themeShade="95"/>
        <w:sz w:val="22"/>
      </w:rPr>
      <w:tcPr>
        <w:shd w:val="clear" w:color="ffffff" w:fill="dbebd0" w:themeFill="accent6" w:themeFillTint="40"/>
      </w:tcPr>
    </w:tblStylePr>
    <w:tblStylePr w:type="band1Vert">
      <w:tcPr>
        <w:shd w:val="clear" w:color="ffffff" w:fill="dbebd0" w:themeFill="accent6" w:themeFillTint="40"/>
      </w:tcPr>
    </w:tblStylePr>
    <w:tblStylePr w:type="band2Horz">
      <w:rPr>
        <w:color w:val="5f8f3c" w:themeColor="accent6" w:themeTint="98" w:themeShade="95"/>
        <w:sz w:val="22"/>
      </w:rPr>
    </w:tblStylePr>
    <w:tblStylePr w:type="firstCol">
      <w:rPr>
        <w:i/>
        <w:color w:val="5f8f3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sz="4" w:space="0"/>
        </w:tcBorders>
      </w:tcPr>
    </w:tblStylePr>
    <w:tblStylePr w:type="firstRow">
      <w:rPr>
        <w:i/>
        <w:color w:val="5f8f3c" w:themeColor="accent6" w:themeTint="98" w:themeShade="95"/>
        <w:sz w:val="22"/>
      </w:rPr>
      <w:tcPr>
        <w:shd w:val="clear" w:color="ffffff" w:fill="ffffff" w:themeFill="light1"/>
        <w:tcBorders>
          <w:top w:val="none" w:color="000000" w:sz="4" w:space="0"/>
          <w:left w:val="none" w:color="000000" w:sz="4" w:space="0"/>
          <w:bottom w:val="single" w:color="000000" w:themeColor="accent6" w:sz="4" w:space="0"/>
          <w:right w:val="none" w:color="000000" w:sz="4" w:space="0"/>
        </w:tcBorders>
      </w:tcPr>
    </w:tblStylePr>
    <w:tblStylePr w:type="lastCol">
      <w:rPr>
        <w:i/>
        <w:color w:val="5f8f3c" w:themeColor="accent6" w:themeTint="98" w:themeShade="95"/>
        <w:sz w:val="22"/>
      </w:rPr>
      <w:tcPr>
        <w:shd w:val="clear" w:color="ffffff"/>
        <w:tcBorders>
          <w:top w:val="none" w:color="000000" w:sz="4" w:space="0"/>
          <w:left w:val="single" w:color="000000" w:themeColor="accent6" w:sz="4" w:space="0"/>
          <w:bottom w:val="none" w:color="000000" w:sz="4" w:space="0"/>
          <w:right w:val="none" w:color="000000" w:sz="4" w:space="0"/>
        </w:tcBorders>
      </w:tcPr>
    </w:tblStylePr>
    <w:tblStylePr w:type="lastRow">
      <w:rPr>
        <w:i/>
        <w:color w:val="5f8f3c" w:themeColor="accent6" w:themeTint="98" w:themeShade="95"/>
        <w:sz w:val="22"/>
      </w:rPr>
      <w:tcPr>
        <w:shd w:val="clear" w:color="ffffff" w:fill="ffffff" w:themeFill="light1"/>
        <w:tcBorders>
          <w:top w:val="single" w:color="000000" w:themeColor="accent6" w:sz="4" w:space="0"/>
          <w:left w:val="none" w:color="000000" w:sz="4" w:space="0"/>
          <w:bottom w:val="none" w:color="000000" w:sz="4" w:space="0"/>
          <w:right w:val="none" w:color="000000" w:sz="4" w:space="0"/>
        </w:tcBorders>
      </w:tcPr>
    </w:tblStylePr>
    <w:tblStylePr w:type="wholeTable">
      <w:rPr>
        <w:color w:val="5f8f3c" w:themeColor="accent6" w:themeTint="98" w:themeShade="95"/>
        <w:sz w:val="22"/>
      </w:rPr>
    </w:tblStylePr>
  </w:style>
  <w:style w:type="table" w:styleId="1483">
    <w:name w:val="Lined - Accent"/>
    <w:basedOn w:val="1504"/>
    <w:uiPriority w:val="99"/>
    <w:pPr>
      <w:spacing w:after="0" w:line="240" w:lineRule="auto"/>
    </w:pPr>
    <w:rPr>
      <w:color w:val="404040"/>
    </w:rPr>
    <w:tblPr>
      <w:tblStyleRowBandSize w:val="1"/>
      <w:tblStyleColBandSize w:val="1"/>
    </w:tblPr>
    <w:tblStylePr w:type="band1Horz">
      <w:rPr>
        <w:color w:val="404040"/>
        <w:sz w:val="22"/>
      </w:rPr>
    </w:tblStylePr>
    <w:tblStylePr w:type="band1Vert">
      <w:rPr>
        <w:color w:val="404040"/>
        <w:sz w:val="22"/>
      </w:rPr>
    </w:tblStylePr>
    <w:tblStylePr w:type="band2Horz">
      <w:rPr>
        <w:color w:val="404040"/>
        <w:sz w:val="22"/>
      </w:rPr>
      <w:tcPr>
        <w:shd w:val="clear" w:color="ffffff" w:fill="f2f2f2" w:themeFill="text1" w:themeFillTint="00"/>
      </w:tcPr>
    </w:tblStylePr>
    <w:tblStylePr w:type="band2Vert">
      <w:rPr>
        <w:color w:val="404040"/>
        <w:sz w:val="22"/>
      </w:rPr>
      <w:tcPr>
        <w:shd w:val="clear" w:color="ffffff" w:fill="f2f2f2" w:themeFill="text1" w:themeFillTint="00"/>
      </w:tcPr>
    </w:tblStylePr>
    <w:tblStylePr w:type="firstCol">
      <w:rPr>
        <w:color w:val="f2f2f2"/>
        <w:sz w:val="22"/>
      </w:rPr>
      <w:tcPr>
        <w:shd w:val="clear" w:color="ffffff" w:fill="7f7f7f" w:themeFill="text1" w:themeFillTint="80"/>
      </w:tcPr>
    </w:tblStylePr>
    <w:tblStylePr w:type="firstRow">
      <w:rPr>
        <w:color w:val="f2f2f2"/>
        <w:sz w:val="22"/>
      </w:rPr>
      <w:tcPr>
        <w:shd w:val="clear" w:color="ffffff" w:fill="7f7f7f" w:themeFill="text1" w:themeFillTint="80"/>
      </w:tcPr>
    </w:tblStylePr>
    <w:tblStylePr w:type="lastCol">
      <w:rPr>
        <w:color w:val="f2f2f2"/>
        <w:sz w:val="22"/>
      </w:rPr>
      <w:tcPr>
        <w:shd w:val="clear" w:color="ffffff" w:fill="7f7f7f" w:themeFill="text1" w:themeFillTint="80"/>
      </w:tcPr>
    </w:tblStylePr>
    <w:tblStylePr w:type="lastRow">
      <w:rPr>
        <w:color w:val="f2f2f2"/>
        <w:sz w:val="22"/>
      </w:rPr>
      <w:tcPr>
        <w:shd w:val="clear" w:color="ffffff" w:fill="7f7f7f" w:themeFill="text1" w:themeFillTint="80"/>
      </w:tcPr>
    </w:tblStylePr>
  </w:style>
  <w:style w:type="table" w:styleId="1484">
    <w:name w:val="Lined - Accent 1"/>
    <w:basedOn w:val="1504"/>
    <w:uiPriority w:val="99"/>
    <w:pPr>
      <w:spacing w:after="0" w:line="240" w:lineRule="auto"/>
    </w:pPr>
    <w:rPr>
      <w:color w:val="404040"/>
    </w:rPr>
    <w:tblPr>
      <w:tblStyleRowBandSize w:val="1"/>
      <w:tblStyleColBandSize w:val="1"/>
    </w:tblPr>
    <w:tblStylePr w:type="band1Horz">
      <w:rPr>
        <w:color w:val="404040"/>
        <w:sz w:val="22"/>
      </w:rPr>
    </w:tblStylePr>
    <w:tblStylePr w:type="band1Vert">
      <w:rPr>
        <w:color w:val="404040"/>
        <w:sz w:val="22"/>
      </w:rPr>
    </w:tblStylePr>
    <w:tblStylePr w:type="band2Horz">
      <w:rPr>
        <w:color w:val="404040"/>
        <w:sz w:val="22"/>
      </w:rPr>
      <w:tcPr>
        <w:shd w:val="clear" w:color="ffffff" w:fill="c3d3ec" w:themeFill="accent1" w:themeFillTint="50"/>
      </w:tcPr>
    </w:tblStylePr>
    <w:tblStylePr w:type="band2Vert">
      <w:rPr>
        <w:color w:val="404040"/>
        <w:sz w:val="22"/>
      </w:rPr>
      <w:tcPr>
        <w:shd w:val="clear" w:color="ffffff" w:fill="c3d3ec" w:themeFill="accent1" w:themeFillTint="50"/>
      </w:tcPr>
    </w:tblStylePr>
    <w:tblStylePr w:type="firstCol">
      <w:rPr>
        <w:color w:val="f2f2f2"/>
        <w:sz w:val="22"/>
      </w:rPr>
      <w:tcPr>
        <w:shd w:val="clear" w:color="ffffff" w:fill="537fc8" w:themeFill="accent1" w:themeFillTint="EA"/>
      </w:tcPr>
    </w:tblStylePr>
    <w:tblStylePr w:type="firstRow">
      <w:rPr>
        <w:color w:val="f2f2f2"/>
        <w:sz w:val="22"/>
      </w:rPr>
      <w:tcPr>
        <w:shd w:val="clear" w:color="ffffff" w:fill="537fc8" w:themeFill="accent1" w:themeFillTint="EA"/>
      </w:tcPr>
    </w:tblStylePr>
    <w:tblStylePr w:type="lastCol">
      <w:rPr>
        <w:color w:val="f2f2f2"/>
        <w:sz w:val="22"/>
      </w:rPr>
      <w:tcPr>
        <w:shd w:val="clear" w:color="ffffff" w:fill="537fc8" w:themeFill="accent1" w:themeFillTint="EA"/>
      </w:tcPr>
    </w:tblStylePr>
    <w:tblStylePr w:type="lastRow">
      <w:rPr>
        <w:color w:val="f2f2f2"/>
        <w:sz w:val="22"/>
      </w:rPr>
      <w:tcPr>
        <w:shd w:val="clear" w:color="ffffff" w:fill="537fc8" w:themeFill="accent1" w:themeFillTint="EA"/>
      </w:tcPr>
    </w:tblStylePr>
  </w:style>
  <w:style w:type="table" w:styleId="1485">
    <w:name w:val="Lined - Accent 2"/>
    <w:basedOn w:val="1504"/>
    <w:uiPriority w:val="99"/>
    <w:pPr>
      <w:spacing w:after="0" w:line="240" w:lineRule="auto"/>
    </w:pPr>
    <w:rPr>
      <w:color w:val="404040"/>
    </w:rPr>
    <w:tblPr>
      <w:tblStyleRowBandSize w:val="1"/>
      <w:tblStyleColBandSize w:val="1"/>
    </w:tblPr>
    <w:tblStylePr w:type="band1Horz">
      <w:rPr>
        <w:color w:val="404040"/>
        <w:sz w:val="22"/>
      </w:rPr>
    </w:tblStylePr>
    <w:tblStylePr w:type="band1Vert">
      <w:rPr>
        <w:color w:val="404040"/>
        <w:sz w:val="22"/>
      </w:rPr>
    </w:tblStylePr>
    <w:tblStylePr w:type="band2Horz">
      <w:rPr>
        <w:color w:val="404040"/>
        <w:sz w:val="22"/>
      </w:rPr>
      <w:tcPr>
        <w:shd w:val="clear" w:color="ffffff" w:fill="fbe5d6" w:themeFill="accent2" w:themeFillTint="32"/>
      </w:tcPr>
    </w:tblStylePr>
    <w:tblStylePr w:type="band2Vert">
      <w:rPr>
        <w:color w:val="404040"/>
        <w:sz w:val="22"/>
      </w:rPr>
      <w:tcPr>
        <w:shd w:val="clear" w:color="ffffff" w:fill="fbe5d6" w:themeFill="accent2" w:themeFillTint="32"/>
      </w:tcPr>
    </w:tblStylePr>
    <w:tblStylePr w:type="firstCol">
      <w:rPr>
        <w:color w:val="f2f2f2"/>
        <w:sz w:val="22"/>
      </w:rPr>
      <w:tcPr>
        <w:shd w:val="clear" w:color="ffffff" w:fill="f4b185" w:themeFill="accent2" w:themeFillTint="97"/>
      </w:tcPr>
    </w:tblStylePr>
    <w:tblStylePr w:type="firstRow">
      <w:rPr>
        <w:color w:val="f2f2f2"/>
        <w:sz w:val="22"/>
      </w:rPr>
      <w:tcPr>
        <w:shd w:val="clear" w:color="ffffff" w:fill="f4b185" w:themeFill="accent2" w:themeFillTint="97"/>
      </w:tcPr>
    </w:tblStylePr>
    <w:tblStylePr w:type="lastCol">
      <w:rPr>
        <w:color w:val="f2f2f2"/>
        <w:sz w:val="22"/>
      </w:rPr>
      <w:tcPr>
        <w:shd w:val="clear" w:color="ffffff" w:fill="f4b185" w:themeFill="accent2" w:themeFillTint="97"/>
      </w:tcPr>
    </w:tblStylePr>
    <w:tblStylePr w:type="lastRow">
      <w:rPr>
        <w:color w:val="f2f2f2"/>
        <w:sz w:val="22"/>
      </w:rPr>
      <w:tcPr>
        <w:shd w:val="clear" w:color="ffffff" w:fill="f4b185" w:themeFill="accent2" w:themeFillTint="97"/>
      </w:tcPr>
    </w:tblStylePr>
  </w:style>
  <w:style w:type="table" w:styleId="1486">
    <w:name w:val="Lined - Accent 3"/>
    <w:basedOn w:val="1504"/>
    <w:uiPriority w:val="99"/>
    <w:pPr>
      <w:spacing w:after="0" w:line="240" w:lineRule="auto"/>
    </w:pPr>
    <w:rPr>
      <w:color w:val="404040"/>
    </w:rPr>
    <w:tblPr>
      <w:tblStyleRowBandSize w:val="1"/>
      <w:tblStyleColBandSize w:val="1"/>
    </w:tblPr>
    <w:tblStylePr w:type="band1Horz">
      <w:rPr>
        <w:color w:val="404040"/>
        <w:sz w:val="22"/>
      </w:rPr>
    </w:tblStylePr>
    <w:tblStylePr w:type="band1Vert">
      <w:rPr>
        <w:color w:val="404040"/>
        <w:sz w:val="22"/>
      </w:rPr>
    </w:tblStylePr>
    <w:tblStylePr w:type="band2Horz">
      <w:rPr>
        <w:color w:val="404040"/>
        <w:sz w:val="22"/>
      </w:rPr>
      <w:tcPr>
        <w:shd w:val="clear" w:color="ffffff" w:fill="ededed" w:themeFill="accent3" w:themeFillTint="34"/>
      </w:tcPr>
    </w:tblStylePr>
    <w:tblStylePr w:type="band2Vert">
      <w:rPr>
        <w:color w:val="404040"/>
        <w:sz w:val="22"/>
      </w:rPr>
      <w:tcPr>
        <w:shd w:val="clear" w:color="ffffff" w:fill="ededed" w:themeFill="accent3" w:themeFillTint="34"/>
      </w:tcPr>
    </w:tblStylePr>
    <w:tblStylePr w:type="firstCol">
      <w:rPr>
        <w:color w:val="f2f2f2"/>
        <w:sz w:val="22"/>
      </w:rPr>
      <w:tcPr>
        <w:shd w:val="clear" w:color="ffffff" w:fill="a5a5a5" w:themeFill="accent3" w:themeFillTint="FE"/>
      </w:tcPr>
    </w:tblStylePr>
    <w:tblStylePr w:type="firstRow">
      <w:rPr>
        <w:color w:val="f2f2f2"/>
        <w:sz w:val="22"/>
      </w:rPr>
      <w:tcPr>
        <w:shd w:val="clear" w:color="ffffff" w:fill="a5a5a5" w:themeFill="accent3" w:themeFillTint="FE"/>
      </w:tcPr>
    </w:tblStylePr>
    <w:tblStylePr w:type="lastCol">
      <w:rPr>
        <w:color w:val="f2f2f2"/>
        <w:sz w:val="22"/>
      </w:rPr>
      <w:tcPr>
        <w:shd w:val="clear" w:color="ffffff" w:fill="a5a5a5" w:themeFill="accent3" w:themeFillTint="FE"/>
      </w:tcPr>
    </w:tblStylePr>
    <w:tblStylePr w:type="lastRow">
      <w:rPr>
        <w:color w:val="f2f2f2"/>
        <w:sz w:val="22"/>
      </w:rPr>
      <w:tcPr>
        <w:shd w:val="clear" w:color="ffffff" w:fill="a5a5a5" w:themeFill="accent3" w:themeFillTint="FE"/>
      </w:tcPr>
    </w:tblStylePr>
  </w:style>
  <w:style w:type="table" w:styleId="1487">
    <w:name w:val="Lined - Accent 4"/>
    <w:basedOn w:val="1504"/>
    <w:uiPriority w:val="99"/>
    <w:pPr>
      <w:spacing w:after="0" w:line="240" w:lineRule="auto"/>
    </w:pPr>
    <w:rPr>
      <w:color w:val="404040"/>
    </w:rPr>
    <w:tblPr>
      <w:tblStyleRowBandSize w:val="1"/>
      <w:tblStyleColBandSize w:val="1"/>
    </w:tblPr>
    <w:tblStylePr w:type="band1Horz">
      <w:rPr>
        <w:color w:val="404040"/>
        <w:sz w:val="22"/>
      </w:rPr>
    </w:tblStylePr>
    <w:tblStylePr w:type="band1Vert">
      <w:rPr>
        <w:color w:val="404040"/>
        <w:sz w:val="22"/>
      </w:rPr>
    </w:tblStylePr>
    <w:tblStylePr w:type="band2Horz">
      <w:rPr>
        <w:color w:val="404040"/>
        <w:sz w:val="22"/>
      </w:rPr>
      <w:tcPr>
        <w:shd w:val="clear" w:color="ffffff" w:fill="fef2cb" w:themeFill="accent4" w:themeFillTint="34"/>
      </w:tcPr>
    </w:tblStylePr>
    <w:tblStylePr w:type="band2Vert">
      <w:rPr>
        <w:color w:val="404040"/>
        <w:sz w:val="22"/>
      </w:rPr>
      <w:tcPr>
        <w:shd w:val="clear" w:color="ffffff" w:fill="fef2cb" w:themeFill="accent4" w:themeFillTint="34"/>
      </w:tcPr>
    </w:tblStylePr>
    <w:tblStylePr w:type="firstCol">
      <w:rPr>
        <w:color w:val="f2f2f2"/>
        <w:sz w:val="22"/>
      </w:rPr>
      <w:tcPr>
        <w:shd w:val="clear" w:color="ffffff" w:fill="ffd864" w:themeFill="accent4" w:themeFillTint="9A"/>
      </w:tcPr>
    </w:tblStylePr>
    <w:tblStylePr w:type="firstRow">
      <w:rPr>
        <w:color w:val="f2f2f2"/>
        <w:sz w:val="22"/>
      </w:rPr>
      <w:tcPr>
        <w:shd w:val="clear" w:color="ffffff" w:fill="ffd864" w:themeFill="accent4" w:themeFillTint="9A"/>
      </w:tcPr>
    </w:tblStylePr>
    <w:tblStylePr w:type="lastCol">
      <w:rPr>
        <w:color w:val="f2f2f2"/>
        <w:sz w:val="22"/>
      </w:rPr>
      <w:tcPr>
        <w:shd w:val="clear" w:color="ffffff" w:fill="ffd864" w:themeFill="accent4" w:themeFillTint="9A"/>
      </w:tcPr>
    </w:tblStylePr>
    <w:tblStylePr w:type="lastRow">
      <w:rPr>
        <w:color w:val="f2f2f2"/>
        <w:sz w:val="22"/>
      </w:rPr>
      <w:tcPr>
        <w:shd w:val="clear" w:color="ffffff" w:fill="ffd864" w:themeFill="accent4" w:themeFillTint="9A"/>
      </w:tcPr>
    </w:tblStylePr>
  </w:style>
  <w:style w:type="table" w:styleId="1488">
    <w:name w:val="Lined - Accent 5"/>
    <w:basedOn w:val="1504"/>
    <w:uiPriority w:val="99"/>
    <w:pPr>
      <w:spacing w:after="0" w:line="240" w:lineRule="auto"/>
    </w:pPr>
    <w:rPr>
      <w:color w:val="404040"/>
    </w:rPr>
    <w:tblPr>
      <w:tblStyleRowBandSize w:val="1"/>
      <w:tblStyleColBandSize w:val="1"/>
    </w:tblPr>
    <w:tblStylePr w:type="band1Horz">
      <w:rPr>
        <w:color w:val="404040"/>
        <w:sz w:val="22"/>
      </w:rPr>
    </w:tblStylePr>
    <w:tblStylePr w:type="band1Vert">
      <w:rPr>
        <w:color w:val="404040"/>
        <w:sz w:val="22"/>
      </w:rPr>
    </w:tblStylePr>
    <w:tblStylePr w:type="band2Horz">
      <w:rPr>
        <w:color w:val="404040"/>
        <w:sz w:val="22"/>
      </w:rPr>
      <w:tcPr>
        <w:shd w:val="clear" w:color="ffffff" w:fill="ddebf6" w:themeFill="accent5" w:themeFillTint="34"/>
      </w:tcPr>
    </w:tblStylePr>
    <w:tblStylePr w:type="band2Vert">
      <w:rPr>
        <w:color w:val="404040"/>
        <w:sz w:val="22"/>
      </w:rPr>
      <w:tcPr>
        <w:shd w:val="clear" w:color="ffffff" w:fill="ddebf6" w:themeFill="accent5" w:themeFillTint="34"/>
      </w:tcPr>
    </w:tblStylePr>
    <w:tblStylePr w:type="firstCol">
      <w:rPr>
        <w:color w:val="f2f2f2"/>
        <w:sz w:val="22"/>
      </w:rPr>
      <w:tcPr>
        <w:shd w:val="clear" w:color="ffffff" w:fill="5b9bd5" w:themeFill="accent5"/>
      </w:tcPr>
    </w:tblStylePr>
    <w:tblStylePr w:type="firstRow">
      <w:rPr>
        <w:color w:val="f2f2f2"/>
        <w:sz w:val="22"/>
      </w:rPr>
      <w:tcPr>
        <w:shd w:val="clear" w:color="ffffff" w:fill="5b9bd5" w:themeFill="accent5"/>
      </w:tcPr>
    </w:tblStylePr>
    <w:tblStylePr w:type="lastCol">
      <w:rPr>
        <w:color w:val="f2f2f2"/>
        <w:sz w:val="22"/>
      </w:rPr>
      <w:tcPr>
        <w:shd w:val="clear" w:color="ffffff" w:fill="5b9bd5" w:themeFill="accent5"/>
      </w:tcPr>
    </w:tblStylePr>
    <w:tblStylePr w:type="lastRow">
      <w:rPr>
        <w:color w:val="f2f2f2"/>
        <w:sz w:val="22"/>
      </w:rPr>
      <w:tcPr>
        <w:shd w:val="clear" w:color="ffffff" w:fill="5b9bd5" w:themeFill="accent5"/>
      </w:tcPr>
    </w:tblStylePr>
  </w:style>
  <w:style w:type="table" w:styleId="1489">
    <w:name w:val="Lined - Accent 6"/>
    <w:basedOn w:val="1504"/>
    <w:uiPriority w:val="99"/>
    <w:pPr>
      <w:spacing w:after="0" w:line="240" w:lineRule="auto"/>
    </w:pPr>
    <w:rPr>
      <w:color w:val="404040"/>
    </w:rPr>
    <w:tblPr>
      <w:tblStyleRowBandSize w:val="1"/>
      <w:tblStyleColBandSize w:val="1"/>
    </w:tblPr>
    <w:tblStylePr w:type="band1Horz">
      <w:rPr>
        <w:color w:val="404040"/>
        <w:sz w:val="22"/>
      </w:rPr>
    </w:tblStylePr>
    <w:tblStylePr w:type="band1Vert">
      <w:rPr>
        <w:color w:val="404040"/>
        <w:sz w:val="22"/>
      </w:rPr>
    </w:tblStylePr>
    <w:tblStylePr w:type="band2Horz">
      <w:rPr>
        <w:color w:val="404040"/>
        <w:sz w:val="22"/>
      </w:rPr>
      <w:tcPr>
        <w:shd w:val="clear" w:color="ffffff" w:fill="e2efd8" w:themeFill="accent6" w:themeFillTint="34"/>
      </w:tcPr>
    </w:tblStylePr>
    <w:tblStylePr w:type="band2Vert">
      <w:rPr>
        <w:color w:val="404040"/>
        <w:sz w:val="22"/>
      </w:rPr>
      <w:tcPr>
        <w:shd w:val="clear" w:color="ffffff" w:fill="e2efd8" w:themeFill="accent6" w:themeFillTint="34"/>
      </w:tcPr>
    </w:tblStylePr>
    <w:tblStylePr w:type="firstCol">
      <w:rPr>
        <w:color w:val="f2f2f2"/>
        <w:sz w:val="22"/>
      </w:rPr>
      <w:tcPr>
        <w:shd w:val="clear" w:color="ffffff" w:fill="70ad47" w:themeFill="accent6"/>
      </w:tcPr>
    </w:tblStylePr>
    <w:tblStylePr w:type="firstRow">
      <w:rPr>
        <w:color w:val="f2f2f2"/>
        <w:sz w:val="22"/>
      </w:rPr>
      <w:tcPr>
        <w:shd w:val="clear" w:color="ffffff" w:fill="70ad47" w:themeFill="accent6"/>
      </w:tcPr>
    </w:tblStylePr>
    <w:tblStylePr w:type="lastCol">
      <w:rPr>
        <w:color w:val="f2f2f2"/>
        <w:sz w:val="22"/>
      </w:rPr>
      <w:tcPr>
        <w:shd w:val="clear" w:color="ffffff" w:fill="70ad47" w:themeFill="accent6"/>
      </w:tcPr>
    </w:tblStylePr>
    <w:tblStylePr w:type="lastRow">
      <w:rPr>
        <w:color w:val="f2f2f2"/>
        <w:sz w:val="22"/>
      </w:rPr>
      <w:tcPr>
        <w:shd w:val="clear" w:color="ffffff" w:fill="70ad47" w:themeFill="accent6"/>
      </w:tcPr>
    </w:tblStylePr>
  </w:style>
  <w:style w:type="table" w:styleId="1490">
    <w:name w:val="Bordered &amp; Lined - Accent"/>
    <w:basedOn w:val="1504"/>
    <w:uiPriority w:val="99"/>
    <w:pPr>
      <w:spacing w:after="0" w:line="240" w:lineRule="auto"/>
    </w:pPr>
    <w:rPr>
      <w:color w:val="404040"/>
    </w:rPr>
    <w:tblPr>
      <w:tblStyleRowBandSize w:val="1"/>
      <w:tblStyleColBandSize w:val="1"/>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color w:val="404040"/>
        <w:sz w:val="22"/>
      </w:rPr>
    </w:tblStylePr>
    <w:tblStylePr w:type="band1Vert">
      <w:rPr>
        <w:color w:val="404040"/>
        <w:sz w:val="22"/>
      </w:rPr>
    </w:tblStylePr>
    <w:tblStylePr w:type="band2Horz">
      <w:rPr>
        <w:color w:val="404040"/>
        <w:sz w:val="22"/>
      </w:rPr>
      <w:tcPr>
        <w:shd w:val="clear" w:color="ffffff" w:fill="f2f2f2" w:themeFill="text1" w:themeFillTint="00"/>
      </w:tcPr>
    </w:tblStylePr>
    <w:tblStylePr w:type="band2Vert">
      <w:rPr>
        <w:color w:val="404040"/>
        <w:sz w:val="22"/>
      </w:rPr>
      <w:tcPr>
        <w:shd w:val="clear" w:color="ffffff" w:fill="f2f2f2" w:themeFill="text1" w:themeFillTint="00"/>
      </w:tcPr>
    </w:tblStylePr>
    <w:tblStylePr w:type="firstCol">
      <w:rPr>
        <w:color w:val="f2f2f2"/>
        <w:sz w:val="22"/>
      </w:rPr>
      <w:tcPr>
        <w:shd w:val="clear" w:color="ffffff" w:fill="7f7f7f" w:themeFill="text1" w:themeFillTint="80"/>
      </w:tcPr>
    </w:tblStylePr>
    <w:tblStylePr w:type="firstRow">
      <w:rPr>
        <w:color w:val="f2f2f2"/>
        <w:sz w:val="22"/>
      </w:rPr>
      <w:tcPr>
        <w:shd w:val="clear" w:color="ffffff" w:fill="7f7f7f" w:themeFill="text1" w:themeFillTint="80"/>
      </w:tcPr>
    </w:tblStylePr>
    <w:tblStylePr w:type="lastCol">
      <w:rPr>
        <w:color w:val="f2f2f2"/>
        <w:sz w:val="22"/>
      </w:rPr>
      <w:tcPr>
        <w:shd w:val="clear" w:color="ffffff" w:fill="7f7f7f" w:themeFill="text1" w:themeFillTint="80"/>
      </w:tcPr>
    </w:tblStylePr>
    <w:tblStylePr w:type="lastRow">
      <w:rPr>
        <w:color w:val="f2f2f2"/>
        <w:sz w:val="22"/>
      </w:rPr>
      <w:tcPr>
        <w:shd w:val="clear" w:color="ffffff" w:fill="7f7f7f" w:themeFill="text1" w:themeFillTint="80"/>
      </w:tcPr>
    </w:tblStylePr>
  </w:style>
  <w:style w:type="table" w:styleId="1491">
    <w:name w:val="Bordered &amp; Lined - Accent 1"/>
    <w:basedOn w:val="1504"/>
    <w:uiPriority w:val="99"/>
    <w:pPr>
      <w:spacing w:after="0" w:line="240" w:lineRule="auto"/>
    </w:pPr>
    <w:rPr>
      <w:color w:val="404040"/>
    </w:rPr>
    <w:tblPr>
      <w:tblStyleRowBandSize w:val="1"/>
      <w:tblStyleColBandSize w:val="1"/>
      <w:tblBorders>
        <w:top w:val="single" w:color="000000" w:themeColor="accent1" w:sz="4" w:space="0"/>
        <w:left w:val="single" w:color="000000" w:themeColor="accent1" w:sz="4" w:space="0"/>
        <w:bottom w:val="single" w:color="000000" w:themeColor="accent1" w:sz="4" w:space="0"/>
        <w:right w:val="single" w:color="000000" w:themeColor="accent1" w:sz="4" w:space="0"/>
        <w:insideH w:val="single" w:color="000000" w:themeColor="accent1" w:sz="4" w:space="0"/>
        <w:insideV w:val="single" w:color="000000" w:themeColor="accent1" w:sz="4" w:space="0"/>
      </w:tblBorders>
    </w:tblPr>
    <w:tblStylePr w:type="band1Horz">
      <w:rPr>
        <w:color w:val="404040"/>
        <w:sz w:val="22"/>
      </w:rPr>
    </w:tblStylePr>
    <w:tblStylePr w:type="band1Vert">
      <w:rPr>
        <w:color w:val="404040"/>
        <w:sz w:val="22"/>
      </w:rPr>
    </w:tblStylePr>
    <w:tblStylePr w:type="band2Horz">
      <w:rPr>
        <w:color w:val="404040"/>
        <w:sz w:val="22"/>
      </w:rPr>
      <w:tcPr>
        <w:shd w:val="clear" w:color="ffffff" w:fill="c3d3ec" w:themeFill="accent1" w:themeFillTint="50"/>
      </w:tcPr>
    </w:tblStylePr>
    <w:tblStylePr w:type="band2Vert">
      <w:rPr>
        <w:color w:val="404040"/>
        <w:sz w:val="22"/>
      </w:rPr>
      <w:tcPr>
        <w:shd w:val="clear" w:color="ffffff" w:fill="c3d3ec" w:themeFill="accent1" w:themeFillTint="50"/>
      </w:tcPr>
    </w:tblStylePr>
    <w:tblStylePr w:type="firstCol">
      <w:rPr>
        <w:color w:val="f2f2f2"/>
        <w:sz w:val="22"/>
      </w:rPr>
      <w:tcPr>
        <w:shd w:val="clear" w:color="ffffff" w:fill="537fc8" w:themeFill="accent1" w:themeFillTint="EA"/>
      </w:tcPr>
    </w:tblStylePr>
    <w:tblStylePr w:type="firstRow">
      <w:rPr>
        <w:color w:val="f2f2f2"/>
        <w:sz w:val="22"/>
      </w:rPr>
      <w:tcPr>
        <w:shd w:val="clear" w:color="ffffff" w:fill="537fc8" w:themeFill="accent1" w:themeFillTint="EA"/>
      </w:tcPr>
    </w:tblStylePr>
    <w:tblStylePr w:type="lastCol">
      <w:rPr>
        <w:color w:val="f2f2f2"/>
        <w:sz w:val="22"/>
      </w:rPr>
      <w:tcPr>
        <w:shd w:val="clear" w:color="ffffff" w:fill="537fc8" w:themeFill="accent1" w:themeFillTint="EA"/>
      </w:tcPr>
    </w:tblStylePr>
    <w:tblStylePr w:type="lastRow">
      <w:rPr>
        <w:color w:val="f2f2f2"/>
        <w:sz w:val="22"/>
      </w:rPr>
      <w:tcPr>
        <w:shd w:val="clear" w:color="ffffff" w:fill="537fc8" w:themeFill="accent1" w:themeFillTint="EA"/>
      </w:tcPr>
    </w:tblStylePr>
  </w:style>
  <w:style w:type="table" w:styleId="1492">
    <w:name w:val="Bordered &amp; Lined - Accent 2"/>
    <w:basedOn w:val="1504"/>
    <w:uiPriority w:val="99"/>
    <w:pPr>
      <w:spacing w:after="0" w:line="240" w:lineRule="auto"/>
    </w:pPr>
    <w:rPr>
      <w:color w:val="404040"/>
    </w:rPr>
    <w:tblPr>
      <w:tblStyleRowBandSize w:val="1"/>
      <w:tblStyleColBandSize w:val="1"/>
      <w:tblBorders>
        <w:top w:val="single" w:color="000000" w:themeColor="accent2" w:sz="4" w:space="0"/>
        <w:left w:val="single" w:color="000000" w:themeColor="accent2" w:sz="4" w:space="0"/>
        <w:bottom w:val="single" w:color="000000" w:themeColor="accent2" w:sz="4" w:space="0"/>
        <w:right w:val="single" w:color="000000" w:themeColor="accent2" w:sz="4" w:space="0"/>
        <w:insideH w:val="single" w:color="000000" w:themeColor="accent2" w:sz="4" w:space="0"/>
        <w:insideV w:val="single" w:color="000000" w:themeColor="accent2" w:sz="4" w:space="0"/>
      </w:tblBorders>
    </w:tblPr>
    <w:tblStylePr w:type="band1Horz">
      <w:rPr>
        <w:color w:val="404040"/>
        <w:sz w:val="22"/>
      </w:rPr>
    </w:tblStylePr>
    <w:tblStylePr w:type="band1Vert">
      <w:rPr>
        <w:color w:val="404040"/>
        <w:sz w:val="22"/>
      </w:rPr>
    </w:tblStylePr>
    <w:tblStylePr w:type="band2Horz">
      <w:rPr>
        <w:color w:val="404040"/>
        <w:sz w:val="22"/>
      </w:rPr>
      <w:tcPr>
        <w:shd w:val="clear" w:color="ffffff" w:fill="fbe5d6" w:themeFill="accent2" w:themeFillTint="32"/>
      </w:tcPr>
    </w:tblStylePr>
    <w:tblStylePr w:type="band2Vert">
      <w:rPr>
        <w:color w:val="404040"/>
        <w:sz w:val="22"/>
      </w:rPr>
      <w:tcPr>
        <w:shd w:val="clear" w:color="ffffff" w:fill="fbe5d6" w:themeFill="accent2" w:themeFillTint="32"/>
      </w:tcPr>
    </w:tblStylePr>
    <w:tblStylePr w:type="firstCol">
      <w:rPr>
        <w:color w:val="f2f2f2"/>
        <w:sz w:val="22"/>
      </w:rPr>
      <w:tcPr>
        <w:shd w:val="clear" w:color="ffffff" w:fill="f4b185" w:themeFill="accent2" w:themeFillTint="97"/>
      </w:tcPr>
    </w:tblStylePr>
    <w:tblStylePr w:type="firstRow">
      <w:rPr>
        <w:color w:val="f2f2f2"/>
        <w:sz w:val="22"/>
      </w:rPr>
      <w:tcPr>
        <w:shd w:val="clear" w:color="ffffff" w:fill="f4b185" w:themeFill="accent2" w:themeFillTint="97"/>
      </w:tcPr>
    </w:tblStylePr>
    <w:tblStylePr w:type="lastCol">
      <w:rPr>
        <w:color w:val="f2f2f2"/>
        <w:sz w:val="22"/>
      </w:rPr>
      <w:tcPr>
        <w:shd w:val="clear" w:color="ffffff" w:fill="f4b185" w:themeFill="accent2" w:themeFillTint="97"/>
      </w:tcPr>
    </w:tblStylePr>
    <w:tblStylePr w:type="lastRow">
      <w:rPr>
        <w:color w:val="f2f2f2"/>
        <w:sz w:val="22"/>
      </w:rPr>
      <w:tcPr>
        <w:shd w:val="clear" w:color="ffffff" w:fill="f4b185" w:themeFill="accent2" w:themeFillTint="97"/>
      </w:tcPr>
    </w:tblStylePr>
  </w:style>
  <w:style w:type="table" w:styleId="1493">
    <w:name w:val="Bordered &amp; Lined - Accent 3"/>
    <w:basedOn w:val="1504"/>
    <w:uiPriority w:val="99"/>
    <w:pPr>
      <w:spacing w:after="0" w:line="240" w:lineRule="auto"/>
    </w:pPr>
    <w:rPr>
      <w:color w:val="404040"/>
    </w:rPr>
    <w:tblPr>
      <w:tblStyleRowBandSize w:val="1"/>
      <w:tblStyleColBandSize w:val="1"/>
      <w:tblBorders>
        <w:top w:val="single" w:color="000000" w:themeColor="accent3" w:sz="4" w:space="0"/>
        <w:left w:val="single" w:color="000000" w:themeColor="accent3" w:sz="4" w:space="0"/>
        <w:bottom w:val="single" w:color="000000" w:themeColor="accent3" w:sz="4" w:space="0"/>
        <w:right w:val="single" w:color="000000" w:themeColor="accent3" w:sz="4" w:space="0"/>
        <w:insideH w:val="single" w:color="000000" w:themeColor="accent3" w:sz="4" w:space="0"/>
        <w:insideV w:val="single" w:color="000000" w:themeColor="accent3" w:sz="4" w:space="0"/>
      </w:tblBorders>
    </w:tblPr>
    <w:tblStylePr w:type="band1Horz">
      <w:rPr>
        <w:color w:val="404040"/>
        <w:sz w:val="22"/>
      </w:rPr>
    </w:tblStylePr>
    <w:tblStylePr w:type="band1Vert">
      <w:rPr>
        <w:color w:val="404040"/>
        <w:sz w:val="22"/>
      </w:rPr>
    </w:tblStylePr>
    <w:tblStylePr w:type="band2Horz">
      <w:rPr>
        <w:color w:val="404040"/>
        <w:sz w:val="22"/>
      </w:rPr>
      <w:tcPr>
        <w:shd w:val="clear" w:color="ffffff" w:fill="ededed" w:themeFill="accent3" w:themeFillTint="34"/>
      </w:tcPr>
    </w:tblStylePr>
    <w:tblStylePr w:type="band2Vert">
      <w:rPr>
        <w:color w:val="404040"/>
        <w:sz w:val="22"/>
      </w:rPr>
      <w:tcPr>
        <w:shd w:val="clear" w:color="ffffff" w:fill="ededed" w:themeFill="accent3" w:themeFillTint="34"/>
      </w:tcPr>
    </w:tblStylePr>
    <w:tblStylePr w:type="firstCol">
      <w:rPr>
        <w:color w:val="f2f2f2"/>
        <w:sz w:val="22"/>
      </w:rPr>
      <w:tcPr>
        <w:shd w:val="clear" w:color="ffffff" w:fill="a5a5a5" w:themeFill="accent3" w:themeFillTint="FE"/>
      </w:tcPr>
    </w:tblStylePr>
    <w:tblStylePr w:type="firstRow">
      <w:rPr>
        <w:color w:val="f2f2f2"/>
        <w:sz w:val="22"/>
      </w:rPr>
      <w:tcPr>
        <w:shd w:val="clear" w:color="ffffff" w:fill="a5a5a5" w:themeFill="accent3" w:themeFillTint="FE"/>
      </w:tcPr>
    </w:tblStylePr>
    <w:tblStylePr w:type="lastCol">
      <w:rPr>
        <w:color w:val="f2f2f2"/>
        <w:sz w:val="22"/>
      </w:rPr>
      <w:tcPr>
        <w:shd w:val="clear" w:color="ffffff" w:fill="a5a5a5" w:themeFill="accent3" w:themeFillTint="FE"/>
      </w:tcPr>
    </w:tblStylePr>
    <w:tblStylePr w:type="lastRow">
      <w:rPr>
        <w:color w:val="f2f2f2"/>
        <w:sz w:val="22"/>
      </w:rPr>
      <w:tcPr>
        <w:shd w:val="clear" w:color="ffffff" w:fill="a5a5a5" w:themeFill="accent3" w:themeFillTint="FE"/>
      </w:tcPr>
    </w:tblStylePr>
  </w:style>
  <w:style w:type="table" w:styleId="1494">
    <w:name w:val="Bordered &amp; Lined - Accent 4"/>
    <w:basedOn w:val="1504"/>
    <w:uiPriority w:val="99"/>
    <w:pPr>
      <w:spacing w:after="0" w:line="240" w:lineRule="auto"/>
    </w:pPr>
    <w:rPr>
      <w:color w:val="404040"/>
    </w:rPr>
    <w:tblPr>
      <w:tblStyleRowBandSize w:val="1"/>
      <w:tblStyleColBandSize w:val="1"/>
      <w:tblBorders>
        <w:top w:val="single" w:color="000000" w:themeColor="accent4" w:sz="4" w:space="0"/>
        <w:left w:val="single" w:color="000000" w:themeColor="accent4" w:sz="4" w:space="0"/>
        <w:bottom w:val="single" w:color="000000" w:themeColor="accent4" w:sz="4" w:space="0"/>
        <w:right w:val="single" w:color="000000" w:themeColor="accent4" w:sz="4" w:space="0"/>
        <w:insideH w:val="single" w:color="000000" w:themeColor="accent4" w:sz="4" w:space="0"/>
        <w:insideV w:val="single" w:color="000000" w:themeColor="accent4" w:sz="4" w:space="0"/>
      </w:tblBorders>
    </w:tblPr>
    <w:tblStylePr w:type="band1Horz">
      <w:rPr>
        <w:color w:val="404040"/>
        <w:sz w:val="22"/>
      </w:rPr>
    </w:tblStylePr>
    <w:tblStylePr w:type="band1Vert">
      <w:rPr>
        <w:color w:val="404040"/>
        <w:sz w:val="22"/>
      </w:rPr>
    </w:tblStylePr>
    <w:tblStylePr w:type="band2Horz">
      <w:rPr>
        <w:color w:val="404040"/>
        <w:sz w:val="22"/>
      </w:rPr>
      <w:tcPr>
        <w:shd w:val="clear" w:color="ffffff" w:fill="fef2cb" w:themeFill="accent4" w:themeFillTint="34"/>
      </w:tcPr>
    </w:tblStylePr>
    <w:tblStylePr w:type="band2Vert">
      <w:rPr>
        <w:color w:val="404040"/>
        <w:sz w:val="22"/>
      </w:rPr>
      <w:tcPr>
        <w:shd w:val="clear" w:color="ffffff" w:fill="fef2cb" w:themeFill="accent4" w:themeFillTint="34"/>
      </w:tcPr>
    </w:tblStylePr>
    <w:tblStylePr w:type="firstCol">
      <w:rPr>
        <w:color w:val="f2f2f2"/>
        <w:sz w:val="22"/>
      </w:rPr>
      <w:tcPr>
        <w:shd w:val="clear" w:color="ffffff" w:fill="ffd864" w:themeFill="accent4" w:themeFillTint="9A"/>
      </w:tcPr>
    </w:tblStylePr>
    <w:tblStylePr w:type="firstRow">
      <w:rPr>
        <w:color w:val="f2f2f2"/>
        <w:sz w:val="22"/>
      </w:rPr>
      <w:tcPr>
        <w:shd w:val="clear" w:color="ffffff" w:fill="ffd864" w:themeFill="accent4" w:themeFillTint="9A"/>
      </w:tcPr>
    </w:tblStylePr>
    <w:tblStylePr w:type="lastCol">
      <w:rPr>
        <w:color w:val="f2f2f2"/>
        <w:sz w:val="22"/>
      </w:rPr>
      <w:tcPr>
        <w:shd w:val="clear" w:color="ffffff" w:fill="ffd864" w:themeFill="accent4" w:themeFillTint="9A"/>
      </w:tcPr>
    </w:tblStylePr>
    <w:tblStylePr w:type="lastRow">
      <w:rPr>
        <w:color w:val="f2f2f2"/>
        <w:sz w:val="22"/>
      </w:rPr>
      <w:tcPr>
        <w:shd w:val="clear" w:color="ffffff" w:fill="ffd864" w:themeFill="accent4" w:themeFillTint="9A"/>
      </w:tcPr>
    </w:tblStylePr>
  </w:style>
  <w:style w:type="table" w:styleId="1495">
    <w:name w:val="Bordered &amp; Lined - Accent 5"/>
    <w:basedOn w:val="1504"/>
    <w:uiPriority w:val="99"/>
    <w:pPr>
      <w:spacing w:after="0" w:line="240" w:lineRule="auto"/>
    </w:pPr>
    <w:rPr>
      <w:color w:val="404040"/>
    </w:rPr>
    <w:tblPr>
      <w:tblStyleRowBandSize w:val="1"/>
      <w:tblStyleColBandSize w:val="1"/>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color w:val="404040"/>
        <w:sz w:val="22"/>
      </w:rPr>
    </w:tblStylePr>
    <w:tblStylePr w:type="band1Vert">
      <w:rPr>
        <w:color w:val="404040"/>
        <w:sz w:val="22"/>
      </w:rPr>
    </w:tblStylePr>
    <w:tblStylePr w:type="band2Horz">
      <w:rPr>
        <w:color w:val="404040"/>
        <w:sz w:val="22"/>
      </w:rPr>
      <w:tcPr>
        <w:shd w:val="clear" w:color="ffffff" w:fill="ddebf6" w:themeFill="accent5" w:themeFillTint="34"/>
      </w:tcPr>
    </w:tblStylePr>
    <w:tblStylePr w:type="band2Vert">
      <w:rPr>
        <w:color w:val="404040"/>
        <w:sz w:val="22"/>
      </w:rPr>
      <w:tcPr>
        <w:shd w:val="clear" w:color="ffffff" w:fill="ddebf6" w:themeFill="accent5" w:themeFillTint="34"/>
      </w:tcPr>
    </w:tblStylePr>
    <w:tblStylePr w:type="firstCol">
      <w:rPr>
        <w:color w:val="f2f2f2"/>
        <w:sz w:val="22"/>
      </w:rPr>
      <w:tcPr>
        <w:shd w:val="clear" w:color="ffffff" w:fill="5b9bd5" w:themeFill="accent5"/>
      </w:tcPr>
    </w:tblStylePr>
    <w:tblStylePr w:type="firstRow">
      <w:rPr>
        <w:color w:val="f2f2f2"/>
        <w:sz w:val="22"/>
      </w:rPr>
      <w:tcPr>
        <w:shd w:val="clear" w:color="ffffff" w:fill="5b9bd5" w:themeFill="accent5"/>
      </w:tcPr>
    </w:tblStylePr>
    <w:tblStylePr w:type="lastCol">
      <w:rPr>
        <w:color w:val="f2f2f2"/>
        <w:sz w:val="22"/>
      </w:rPr>
      <w:tcPr>
        <w:shd w:val="clear" w:color="ffffff" w:fill="5b9bd5" w:themeFill="accent5"/>
      </w:tcPr>
    </w:tblStylePr>
    <w:tblStylePr w:type="lastRow">
      <w:rPr>
        <w:color w:val="f2f2f2"/>
        <w:sz w:val="22"/>
      </w:rPr>
      <w:tcPr>
        <w:shd w:val="clear" w:color="ffffff" w:fill="5b9bd5" w:themeFill="accent5"/>
      </w:tcPr>
    </w:tblStylePr>
  </w:style>
  <w:style w:type="table" w:styleId="1496">
    <w:name w:val="Bordered &amp; Lined - Accent 6"/>
    <w:basedOn w:val="1504"/>
    <w:uiPriority w:val="99"/>
    <w:pPr>
      <w:spacing w:after="0" w:line="240" w:lineRule="auto"/>
    </w:pPr>
    <w:rPr>
      <w:color w:val="404040"/>
    </w:rPr>
    <w:tblPr>
      <w:tblStyleRowBandSize w:val="1"/>
      <w:tblStyleColBandSize w:val="1"/>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color w:val="404040"/>
        <w:sz w:val="22"/>
      </w:rPr>
    </w:tblStylePr>
    <w:tblStylePr w:type="band1Vert">
      <w:rPr>
        <w:color w:val="404040"/>
        <w:sz w:val="22"/>
      </w:rPr>
    </w:tblStylePr>
    <w:tblStylePr w:type="band2Horz">
      <w:rPr>
        <w:color w:val="404040"/>
        <w:sz w:val="22"/>
      </w:rPr>
      <w:tcPr>
        <w:shd w:val="clear" w:color="ffffff" w:fill="e2efd8" w:themeFill="accent6" w:themeFillTint="34"/>
      </w:tcPr>
    </w:tblStylePr>
    <w:tblStylePr w:type="band2Vert">
      <w:rPr>
        <w:color w:val="404040"/>
        <w:sz w:val="22"/>
      </w:rPr>
      <w:tcPr>
        <w:shd w:val="clear" w:color="ffffff" w:fill="e2efd8" w:themeFill="accent6" w:themeFillTint="34"/>
      </w:tcPr>
    </w:tblStylePr>
    <w:tblStylePr w:type="firstCol">
      <w:rPr>
        <w:color w:val="f2f2f2"/>
        <w:sz w:val="22"/>
      </w:rPr>
      <w:tcPr>
        <w:shd w:val="clear" w:color="ffffff" w:fill="70ad47" w:themeFill="accent6"/>
      </w:tcPr>
    </w:tblStylePr>
    <w:tblStylePr w:type="firstRow">
      <w:rPr>
        <w:color w:val="f2f2f2"/>
        <w:sz w:val="22"/>
      </w:rPr>
      <w:tcPr>
        <w:shd w:val="clear" w:color="ffffff" w:fill="70ad47" w:themeFill="accent6"/>
      </w:tcPr>
    </w:tblStylePr>
    <w:tblStylePr w:type="lastCol">
      <w:rPr>
        <w:color w:val="f2f2f2"/>
        <w:sz w:val="22"/>
      </w:rPr>
      <w:tcPr>
        <w:shd w:val="clear" w:color="ffffff" w:fill="70ad47" w:themeFill="accent6"/>
      </w:tcPr>
    </w:tblStylePr>
    <w:tblStylePr w:type="lastRow">
      <w:rPr>
        <w:color w:val="f2f2f2"/>
        <w:sz w:val="22"/>
      </w:rPr>
      <w:tcPr>
        <w:shd w:val="clear" w:color="ffffff" w:fill="70ad47" w:themeFill="accent6"/>
      </w:tcPr>
    </w:tblStylePr>
  </w:style>
  <w:style w:type="table" w:styleId="1497">
    <w:name w:val="Bordered"/>
    <w:basedOn w:val="1504"/>
    <w:uiPriority w:val="99"/>
    <w:pPr>
      <w:spacing w:after="0" w:line="240" w:lineRule="auto"/>
    </w:pPr>
    <w:tblPr>
      <w:tblStyleRowBandSize w:val="1"/>
      <w:tblStyleColBandSize w:val="1"/>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color w:val="404040"/>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firstCol">
      <w:rPr>
        <w:color w:val="404040"/>
        <w:sz w:val="22"/>
      </w:rPr>
    </w:tblStylePr>
    <w:tblStylePr w:type="firstRow">
      <w:rPr>
        <w:color w:val="404040"/>
        <w:sz w:val="22"/>
      </w:rPr>
      <w:tcPr>
        <w:tcBorders>
          <w:bottom w:val="single" w:color="000000" w:themeColor="text1" w:sz="12" w:space="0"/>
        </w:tcBorders>
      </w:tcPr>
    </w:tblStylePr>
    <w:tblStylePr w:type="lastCol">
      <w:rPr>
        <w:color w:val="404040"/>
        <w:sz w:val="22"/>
      </w:rPr>
      <w:tcPr>
        <w:tcBorders>
          <w:left w:val="single" w:color="000000" w:themeColor="text1" w:sz="12" w:space="0"/>
        </w:tcBorders>
      </w:tcPr>
    </w:tblStylePr>
    <w:tblStylePr w:type="lastRow">
      <w:rPr>
        <w:color w:val="404040"/>
        <w:sz w:val="22"/>
      </w:rPr>
      <w:tcPr>
        <w:tcBorders>
          <w:top w:val="single" w:color="000000" w:themeColor="text1" w:sz="12" w:space="0"/>
        </w:tcBorders>
      </w:tcPr>
    </w:tblStylePr>
  </w:style>
  <w:style w:type="table" w:styleId="1498">
    <w:name w:val="Bordered - Accent 1"/>
    <w:basedOn w:val="1504"/>
    <w:uiPriority w:val="99"/>
    <w:pPr>
      <w:spacing w:after="0" w:line="240" w:lineRule="auto"/>
    </w:pPr>
    <w:tblPr>
      <w:tblStyleRowBandSize w:val="1"/>
      <w:tblStyleColBandSize w:val="1"/>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color w:val="404040"/>
        <w:sz w:val="22"/>
      </w:rPr>
      <w:tcPr>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firstCol">
      <w:rPr>
        <w:color w:val="404040"/>
        <w:sz w:val="22"/>
      </w:rPr>
    </w:tblStylePr>
    <w:tblStylePr w:type="firstRow">
      <w:rPr>
        <w:color w:val="404040"/>
        <w:sz w:val="22"/>
      </w:rPr>
      <w:tcPr>
        <w:tcBorders>
          <w:bottom w:val="single" w:color="000000" w:themeColor="accent1" w:sz="12" w:space="0"/>
        </w:tcBorders>
      </w:tcPr>
    </w:tblStylePr>
    <w:tblStylePr w:type="lastCol">
      <w:rPr>
        <w:color w:val="404040"/>
        <w:sz w:val="22"/>
      </w:rPr>
      <w:tcPr>
        <w:tcBorders>
          <w:left w:val="single" w:color="000000" w:themeColor="accent1" w:sz="12" w:space="0"/>
        </w:tcBorders>
      </w:tcPr>
    </w:tblStylePr>
    <w:tblStylePr w:type="lastRow">
      <w:rPr>
        <w:color w:val="404040"/>
        <w:sz w:val="22"/>
      </w:rPr>
      <w:tcPr>
        <w:tcBorders>
          <w:top w:val="single" w:color="000000" w:themeColor="accent1" w:sz="12" w:space="0"/>
        </w:tcBorders>
      </w:tcPr>
    </w:tblStylePr>
  </w:style>
  <w:style w:type="table" w:styleId="1499">
    <w:name w:val="Bordered - Accent 2"/>
    <w:basedOn w:val="1504"/>
    <w:uiPriority w:val="99"/>
    <w:pPr>
      <w:spacing w:after="0" w:line="240" w:lineRule="auto"/>
    </w:pPr>
    <w:tblPr>
      <w:tblStyleRowBandSize w:val="1"/>
      <w:tblStyleColBandSize w:val="1"/>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color w:val="404040"/>
        <w:sz w:val="22"/>
      </w:rPr>
      <w:tcPr>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firstCol">
      <w:rPr>
        <w:color w:val="404040"/>
        <w:sz w:val="22"/>
      </w:rPr>
    </w:tblStylePr>
    <w:tblStylePr w:type="firstRow">
      <w:rPr>
        <w:color w:val="404040"/>
        <w:sz w:val="22"/>
      </w:rPr>
      <w:tcPr>
        <w:tcBorders>
          <w:bottom w:val="single" w:color="000000" w:themeColor="accent2" w:sz="12" w:space="0"/>
        </w:tcBorders>
      </w:tcPr>
    </w:tblStylePr>
    <w:tblStylePr w:type="lastCol">
      <w:rPr>
        <w:color w:val="404040"/>
        <w:sz w:val="22"/>
      </w:rPr>
      <w:tcPr>
        <w:tcBorders>
          <w:left w:val="single" w:color="000000" w:themeColor="accent2" w:sz="12" w:space="0"/>
        </w:tcBorders>
      </w:tcPr>
    </w:tblStylePr>
    <w:tblStylePr w:type="lastRow">
      <w:rPr>
        <w:color w:val="404040"/>
        <w:sz w:val="22"/>
      </w:rPr>
      <w:tcPr>
        <w:tcBorders>
          <w:top w:val="single" w:color="000000" w:themeColor="accent2" w:sz="12" w:space="0"/>
        </w:tcBorders>
      </w:tcPr>
    </w:tblStylePr>
  </w:style>
  <w:style w:type="table" w:styleId="1500">
    <w:name w:val="Bordered - Accent 3"/>
    <w:basedOn w:val="1504"/>
    <w:uiPriority w:val="99"/>
    <w:pPr>
      <w:spacing w:after="0" w:line="240" w:lineRule="auto"/>
    </w:pPr>
    <w:tblPr>
      <w:tblStyleRowBandSize w:val="1"/>
      <w:tblStyleColBandSize w:val="1"/>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color w:val="404040"/>
        <w:sz w:val="22"/>
      </w:rPr>
      <w:tcPr>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firstCol">
      <w:rPr>
        <w:color w:val="404040"/>
        <w:sz w:val="22"/>
      </w:rPr>
    </w:tblStylePr>
    <w:tblStylePr w:type="firstRow">
      <w:rPr>
        <w:color w:val="404040"/>
        <w:sz w:val="22"/>
      </w:rPr>
      <w:tcPr>
        <w:tcBorders>
          <w:bottom w:val="single" w:color="000000" w:themeColor="accent3" w:sz="12" w:space="0"/>
        </w:tcBorders>
      </w:tcPr>
    </w:tblStylePr>
    <w:tblStylePr w:type="lastCol">
      <w:rPr>
        <w:color w:val="404040"/>
        <w:sz w:val="22"/>
      </w:rPr>
      <w:tcPr>
        <w:tcBorders>
          <w:left w:val="single" w:color="000000" w:themeColor="accent3" w:sz="12" w:space="0"/>
        </w:tcBorders>
      </w:tcPr>
    </w:tblStylePr>
    <w:tblStylePr w:type="lastRow">
      <w:rPr>
        <w:color w:val="404040"/>
        <w:sz w:val="22"/>
      </w:rPr>
      <w:tcPr>
        <w:tcBorders>
          <w:top w:val="single" w:color="000000" w:themeColor="accent3" w:sz="12" w:space="0"/>
        </w:tcBorders>
      </w:tcPr>
    </w:tblStylePr>
  </w:style>
  <w:style w:type="table" w:styleId="1501">
    <w:name w:val="Bordered - Accent 4"/>
    <w:basedOn w:val="1504"/>
    <w:uiPriority w:val="99"/>
    <w:pPr>
      <w:spacing w:after="0" w:line="240" w:lineRule="auto"/>
    </w:pPr>
    <w:tblPr>
      <w:tblStyleRowBandSize w:val="1"/>
      <w:tblStyleColBandSize w:val="1"/>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color w:val="404040"/>
        <w:sz w:val="22"/>
      </w:rPr>
      <w:tcPr>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firstCol">
      <w:rPr>
        <w:color w:val="404040"/>
        <w:sz w:val="22"/>
      </w:rPr>
    </w:tblStylePr>
    <w:tblStylePr w:type="firstRow">
      <w:rPr>
        <w:color w:val="404040"/>
        <w:sz w:val="22"/>
      </w:rPr>
      <w:tcPr>
        <w:tcBorders>
          <w:bottom w:val="single" w:color="000000" w:themeColor="accent4" w:sz="12" w:space="0"/>
        </w:tcBorders>
      </w:tcPr>
    </w:tblStylePr>
    <w:tblStylePr w:type="lastCol">
      <w:rPr>
        <w:color w:val="404040"/>
        <w:sz w:val="22"/>
      </w:rPr>
      <w:tcPr>
        <w:tcBorders>
          <w:left w:val="single" w:color="000000" w:themeColor="accent4" w:sz="12" w:space="0"/>
        </w:tcBorders>
      </w:tcPr>
    </w:tblStylePr>
    <w:tblStylePr w:type="lastRow">
      <w:rPr>
        <w:color w:val="404040"/>
        <w:sz w:val="22"/>
      </w:rPr>
      <w:tcPr>
        <w:tcBorders>
          <w:top w:val="single" w:color="000000" w:themeColor="accent4" w:sz="12" w:space="0"/>
        </w:tcBorders>
      </w:tcPr>
    </w:tblStylePr>
  </w:style>
  <w:style w:type="table" w:styleId="1502">
    <w:name w:val="Bordered - Accent 5"/>
    <w:basedOn w:val="1504"/>
    <w:uiPriority w:val="99"/>
    <w:pPr>
      <w:spacing w:after="0" w:line="240" w:lineRule="auto"/>
    </w:pPr>
    <w:tblPr>
      <w:tblStyleRowBandSize w:val="1"/>
      <w:tblStyleColBandSize w:val="1"/>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color w:val="404040"/>
        <w:sz w:val="22"/>
      </w:r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firstCol">
      <w:rPr>
        <w:color w:val="404040"/>
        <w:sz w:val="22"/>
      </w:rPr>
    </w:tblStylePr>
    <w:tblStylePr w:type="firstRow">
      <w:rPr>
        <w:color w:val="404040"/>
        <w:sz w:val="22"/>
      </w:rPr>
      <w:tcPr>
        <w:tcBorders>
          <w:bottom w:val="single" w:color="000000" w:themeColor="accent5" w:sz="12" w:space="0"/>
        </w:tcBorders>
      </w:tcPr>
    </w:tblStylePr>
    <w:tblStylePr w:type="lastCol">
      <w:rPr>
        <w:color w:val="404040"/>
        <w:sz w:val="22"/>
      </w:rPr>
      <w:tcPr>
        <w:tcBorders>
          <w:left w:val="single" w:color="000000" w:themeColor="accent5" w:sz="12" w:space="0"/>
        </w:tcBorders>
      </w:tcPr>
    </w:tblStylePr>
    <w:tblStylePr w:type="lastRow">
      <w:rPr>
        <w:color w:val="404040"/>
        <w:sz w:val="22"/>
      </w:rPr>
      <w:tcPr>
        <w:tcBorders>
          <w:top w:val="single" w:color="000000" w:themeColor="accent5" w:sz="12" w:space="0"/>
        </w:tcBorders>
      </w:tcPr>
    </w:tblStylePr>
  </w:style>
  <w:style w:type="table" w:styleId="1503">
    <w:name w:val="Bordered - Accent 6"/>
    <w:basedOn w:val="1504"/>
    <w:uiPriority w:val="99"/>
    <w:pPr>
      <w:spacing w:after="0" w:line="240" w:lineRule="auto"/>
    </w:pPr>
    <w:tblPr>
      <w:tblStyleRowBandSize w:val="1"/>
      <w:tblStyleColBandSize w:val="1"/>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color w:val="404040"/>
        <w:sz w:val="22"/>
      </w:r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firstCol">
      <w:rPr>
        <w:color w:val="404040"/>
        <w:sz w:val="22"/>
      </w:rPr>
    </w:tblStylePr>
    <w:tblStylePr w:type="firstRow">
      <w:rPr>
        <w:color w:val="404040"/>
        <w:sz w:val="22"/>
      </w:rPr>
      <w:tcPr>
        <w:tcBorders>
          <w:bottom w:val="single" w:color="000000" w:themeColor="accent6" w:sz="12" w:space="0"/>
        </w:tcBorders>
      </w:tcPr>
    </w:tblStylePr>
    <w:tblStylePr w:type="lastCol">
      <w:rPr>
        <w:color w:val="404040"/>
        <w:sz w:val="22"/>
      </w:rPr>
      <w:tcPr>
        <w:tcBorders>
          <w:left w:val="single" w:color="000000" w:themeColor="accent6" w:sz="12" w:space="0"/>
        </w:tcBorders>
      </w:tcPr>
    </w:tblStylePr>
    <w:tblStylePr w:type="lastRow">
      <w:rPr>
        <w:color w:val="404040"/>
        <w:sz w:val="22"/>
      </w:rPr>
      <w:tcPr>
        <w:tcBorders>
          <w:top w:val="single" w:color="000000" w:themeColor="accent6" w:sz="12" w:space="0"/>
        </w:tcBorders>
      </w:tcPr>
    </w:tblStylePr>
  </w:style>
  <w:style w:type="table" w:styleId="1504" w:default="1">
    <w:name w:val="Normal Table"/>
    <w:uiPriority w:val="99"/>
    <w:semiHidden/>
    <w:unhideWhenUsed/>
    <w:tblPr>
      <w:tblCellMar>
        <w:left w:w="108" w:type="dxa"/>
        <w:top w:w="0" w:type="dxa"/>
        <w:right w:w="108" w:type="dxa"/>
        <w:bottom w:w="0" w:type="dxa"/>
      </w:tblCellMar>
    </w:tblPr>
  </w:style>
  <w:style w:type="table" w:styleId="1505" w:customStyle="1">
    <w:name w:val="[РГ] Таблица"/>
    <w:basedOn w:val="1504"/>
    <w:uiPriority w:val="99"/>
    <w:pPr>
      <w:spacing w:before="60" w:after="60"/>
    </w:pPr>
    <w:tblPr>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left w:w="57" w:type="dxa"/>
        <w:right w:w="57" w:type="dxa"/>
      </w:tblCellMar>
    </w:tblPr>
    <w:tblStylePr w:type="firstRow">
      <w:rPr>
        <w:b/>
      </w:rPr>
      <w:pPr>
        <w:jc w:val="center"/>
      </w:pPr>
    </w:tblStylePr>
  </w:style>
  <w:style w:type="table" w:styleId="1506">
    <w:name w:val="Table Grid"/>
    <w:basedOn w:val="1504"/>
    <w:uiPriority w:val="39"/>
    <w:pPr>
      <w:spacing w:before="0"/>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header" Target="header3.xml" /><Relationship Id="rId12" Type="http://schemas.openxmlformats.org/officeDocument/2006/relationships/header" Target="header4.xml" /><Relationship Id="rId13" Type="http://schemas.openxmlformats.org/officeDocument/2006/relationships/header" Target="header5.xml" /><Relationship Id="rId14" Type="http://schemas.openxmlformats.org/officeDocument/2006/relationships/header" Target="header6.xml" /><Relationship Id="rId15" Type="http://schemas.openxmlformats.org/officeDocument/2006/relationships/header" Target="header7.xml" /><Relationship Id="rId16" Type="http://schemas.openxmlformats.org/officeDocument/2006/relationships/header" Target="header8.xml" /><Relationship Id="rId17" Type="http://schemas.openxmlformats.org/officeDocument/2006/relationships/header" Target="header9.xml" /><Relationship Id="rId18" Type="http://schemas.openxmlformats.org/officeDocument/2006/relationships/header" Target="header10.xml" /><Relationship Id="rId19" Type="http://schemas.openxmlformats.org/officeDocument/2006/relationships/header" Target="header11.xml" /><Relationship Id="rId20" Type="http://schemas.openxmlformats.org/officeDocument/2006/relationships/header" Target="header12.xml" /><Relationship Id="rId21" Type="http://schemas.openxmlformats.org/officeDocument/2006/relationships/header" Target="header13.xml" /><Relationship Id="rId22" Type="http://schemas.openxmlformats.org/officeDocument/2006/relationships/header" Target="header14.xml" /><Relationship Id="rId23" Type="http://schemas.openxmlformats.org/officeDocument/2006/relationships/header" Target="header15.xml" /><Relationship Id="rId24" Type="http://schemas.openxmlformats.org/officeDocument/2006/relationships/footer" Target="footer1.xml" /><Relationship Id="rId25" Type="http://schemas.openxmlformats.org/officeDocument/2006/relationships/footer" Target="footer2.xml" /><Relationship Id="rId26" Type="http://schemas.openxmlformats.org/officeDocument/2006/relationships/footer" Target="footer3.xml" /><Relationship Id="rId27" Type="http://schemas.openxmlformats.org/officeDocument/2006/relationships/footer" Target="footer4.xml" /><Relationship Id="rId28" Type="http://schemas.openxmlformats.org/officeDocument/2006/relationships/footer" Target="footer5.xml" /><Relationship Id="rId29" Type="http://schemas.openxmlformats.org/officeDocument/2006/relationships/footer" Target="footer6.xml" /><Relationship Id="rId30" Type="http://schemas.openxmlformats.org/officeDocument/2006/relationships/footer" Target="footer7.xml" /><Relationship Id="rId31" Type="http://schemas.openxmlformats.org/officeDocument/2006/relationships/footer" Target="footer8.xml" /><Relationship Id="rId32" Type="http://schemas.openxmlformats.org/officeDocument/2006/relationships/footer" Target="footer9.xml" /><Relationship Id="rId33" Type="http://schemas.openxmlformats.org/officeDocument/2006/relationships/footer" Target="footer10.xml" /><Relationship Id="rId34" Type="http://schemas.openxmlformats.org/officeDocument/2006/relationships/footer" Target="footer11.xml" /><Relationship Id="rId35" Type="http://schemas.openxmlformats.org/officeDocument/2006/relationships/footer" Target="footer12.xml" /><Relationship Id="rId36" Type="http://schemas.openxmlformats.org/officeDocument/2006/relationships/footer" Target="footer13.xml" /><Relationship Id="rId37" Type="http://schemas.openxmlformats.org/officeDocument/2006/relationships/footer" Target="footer14.xml" /><Relationship Id="rId38" Type="http://schemas.openxmlformats.org/officeDocument/2006/relationships/footer" Target="footer15.xml" /><Relationship Id="rId39" Type="http://schemas.openxmlformats.org/officeDocument/2006/relationships/customXml" Target="../customXml/item1.xml" /><Relationship Id="rId40" Type="http://schemas.openxmlformats.org/officeDocument/2006/relationships/image" Target="media/image1.png"/><Relationship Id="rId41" Type="http://schemas.openxmlformats.org/officeDocument/2006/relationships/hyperlink" Target="http://www.roseltorg.ru/" TargetMode="External"/><Relationship Id="rId42" Type="http://schemas.openxmlformats.org/officeDocument/2006/relationships/hyperlink" Target="mailto:%3D%3Fkoi8-r%3FQ%3F%3DEC%3DD5%3DCB%3DD8%3DD1%3DCE%3DCF%3DD7%3DC1_%3F%3D %3D%3Fkoi8-r%3FQ%3F%3DF4%3DC1%3DD4%3DD8%3DD1%3DCE%3DC1_%3F%3D %3D%3Fkoi8-r%3FQ%3F%3DF3%3DC5%3DD2%3DC7%3DC5%3DC5%3DD7%3DCE%3DC1%3F%3D &lt;lukyanova-ts@dgk.ru&gt;" TargetMode="External"/><Relationship Id="rId43" Type="http://schemas.openxmlformats.org/officeDocument/2006/relationships/hyperlink" Target="mailto:korkina-sv@dgk.ru" TargetMode="External"/><Relationship Id="rId44" Type="http://schemas.openxmlformats.org/officeDocument/2006/relationships/image" Target="media/image2.png"/></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10.xml.rels><?xml version="1.0" encoding="UTF-8" standalone="yes"?><Relationships xmlns="http://schemas.openxmlformats.org/package/2006/relationships"></Relationships>
</file>

<file path=word/_rels/footer11.xml.rels><?xml version="1.0" encoding="UTF-8" standalone="yes"?><Relationships xmlns="http://schemas.openxmlformats.org/package/2006/relationships"></Relationships>
</file>

<file path=word/_rels/footer12.xml.rels><?xml version="1.0" encoding="UTF-8" standalone="yes"?><Relationships xmlns="http://schemas.openxmlformats.org/package/2006/relationships"></Relationships>
</file>

<file path=word/_rels/footer13.xml.rels><?xml version="1.0" encoding="UTF-8" standalone="yes"?><Relationships xmlns="http://schemas.openxmlformats.org/package/2006/relationships"></Relationships>
</file>

<file path=word/_rels/footer14.xml.rels><?xml version="1.0" encoding="UTF-8" standalone="yes"?><Relationships xmlns="http://schemas.openxmlformats.org/package/2006/relationships"></Relationships>
</file>

<file path=word/_rels/footer15.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er3.xml.rels><?xml version="1.0" encoding="UTF-8" standalone="yes"?><Relationships xmlns="http://schemas.openxmlformats.org/package/2006/relationships"></Relationships>
</file>

<file path=word/_rels/footer4.xml.rels><?xml version="1.0" encoding="UTF-8" standalone="yes"?><Relationships xmlns="http://schemas.openxmlformats.org/package/2006/relationships"></Relationships>
</file>

<file path=word/_rels/footer5.xml.rels><?xml version="1.0" encoding="UTF-8" standalone="yes"?><Relationships xmlns="http://schemas.openxmlformats.org/package/2006/relationships"></Relationships>
</file>

<file path=word/_rels/footer6.xml.rels><?xml version="1.0" encoding="UTF-8" standalone="yes"?><Relationships xmlns="http://schemas.openxmlformats.org/package/2006/relationships"></Relationships>
</file>

<file path=word/_rels/footer7.xml.rels><?xml version="1.0" encoding="UTF-8" standalone="yes"?><Relationships xmlns="http://schemas.openxmlformats.org/package/2006/relationships"></Relationships>
</file>

<file path=word/_rels/footer8.xml.rels><?xml version="1.0" encoding="UTF-8" standalone="yes"?><Relationships xmlns="http://schemas.openxmlformats.org/package/2006/relationships"></Relationships>
</file>

<file path=word/_rels/footer9.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10.xml.rels><?xml version="1.0" encoding="UTF-8" standalone="yes"?><Relationships xmlns="http://schemas.openxmlformats.org/package/2006/relationships"></Relationships>
</file>

<file path=word/_rels/header11.xml.rels><?xml version="1.0" encoding="UTF-8" standalone="yes"?><Relationships xmlns="http://schemas.openxmlformats.org/package/2006/relationships"></Relationships>
</file>

<file path=word/_rels/header12.xml.rels><?xml version="1.0" encoding="UTF-8" standalone="yes"?><Relationships xmlns="http://schemas.openxmlformats.org/package/2006/relationships"></Relationships>
</file>

<file path=word/_rels/header13.xml.rels><?xml version="1.0" encoding="UTF-8" standalone="yes"?><Relationships xmlns="http://schemas.openxmlformats.org/package/2006/relationships"></Relationships>
</file>

<file path=word/_rels/header14.xml.rels><?xml version="1.0" encoding="UTF-8" standalone="yes"?><Relationships xmlns="http://schemas.openxmlformats.org/package/2006/relationships"></Relationships>
</file>

<file path=word/_rels/header15.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_rels/header3.xml.rels><?xml version="1.0" encoding="UTF-8" standalone="yes"?><Relationships xmlns="http://schemas.openxmlformats.org/package/2006/relationships"></Relationships>
</file>

<file path=word/_rels/header4.xml.rels><?xml version="1.0" encoding="UTF-8" standalone="yes"?><Relationships xmlns="http://schemas.openxmlformats.org/package/2006/relationships"></Relationships>
</file>

<file path=word/_rels/header5.xml.rels><?xml version="1.0" encoding="UTF-8" standalone="yes"?><Relationships xmlns="http://schemas.openxmlformats.org/package/2006/relationships"></Relationships>
</file>

<file path=word/_rels/header6.xml.rels><?xml version="1.0" encoding="UTF-8" standalone="yes"?><Relationships xmlns="http://schemas.openxmlformats.org/package/2006/relationships"></Relationships>
</file>

<file path=word/_rels/header7.xml.rels><?xml version="1.0" encoding="UTF-8" standalone="yes"?><Relationships xmlns="http://schemas.openxmlformats.org/package/2006/relationships"></Relationships>
</file>

<file path=word/_rels/header8.xml.rels><?xml version="1.0" encoding="UTF-8" standalone="yes"?><Relationships xmlns="http://schemas.openxmlformats.org/package/2006/relationships"></Relationships>
</file>

<file path=word/_rels/header9.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C79D7F-DA38-4440-9D23-59CEA0302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Р7-Офис/2025.2.2.832</Application>
  <Company>ПАО РусГидро; ИнКонТех</Company>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 о закупке</dc:title>
  <dc:subject>Альбом типовых форм</dc:subject>
  <dc:creator>Владимир Щербаков</dc:creator>
  <cp:keywords>Типовая форма</cp:keywords>
  <dc:description/>
  <dc:language>ru-RU</dc:language>
  <cp:lastModifiedBy>lukyanova_ts</cp:lastModifiedBy>
  <cp:revision>73</cp:revision>
  <dcterms:created xsi:type="dcterms:W3CDTF">2025-08-28T11:09:00Z</dcterms:created>
  <dcterms:modified xsi:type="dcterms:W3CDTF">2026-08-27T23:47:40Z</dcterms:modified>
</cp:coreProperties>
</file>

<file path=docProps/custom.xml><?xml version="1.0" encoding="utf-8"?>
<Properties xmlns="http://schemas.openxmlformats.org/officeDocument/2006/custom-properties" xmlns:vt="http://schemas.openxmlformats.org/officeDocument/2006/docPropsVTypes"/>
</file>